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№5-29-39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трудоустроенного водителем в магазине «Мясной», зарегистрированного и проживающего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– 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6rplc-11"/>
          <w:rFonts w:ascii="Times New Roman" w:eastAsia="Times New Roman" w:hAnsi="Times New Roman" w:cs="Times New Roman"/>
        </w:rPr>
        <w:t>...</w:t>
      </w:r>
      <w:r>
        <w:rPr>
          <w:rStyle w:val="cat-ExternalSystem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Отделом УФМС России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подразделения </w:t>
      </w:r>
      <w:r>
        <w:rPr>
          <w:rStyle w:val="cat-PhoneNumbergrp-27rplc-1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 xml:space="preserve">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ст.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сотрудниками ОУУП и ПДН ОМВД по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санкционированного обыска по адресу: </w:t>
      </w:r>
      <w:r>
        <w:rPr>
          <w:rStyle w:val="cat-Addressgrp-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незаконно культивировал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конопли, </w:t>
      </w:r>
      <w:r>
        <w:rPr>
          <w:rFonts w:ascii="Times New Roman" w:eastAsia="Times New Roman" w:hAnsi="Times New Roman" w:cs="Times New Roman"/>
        </w:rPr>
        <w:t xml:space="preserve">согласно заключению эксперта №1/2128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представленные на экспертизу три растения являются растениями конопля (растения рода Cannabis), содержащие наркотическое средство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Данные</w:t>
      </w:r>
      <w:r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 xml:space="preserve">данный гражданин </w:t>
      </w:r>
      <w:r>
        <w:rPr>
          <w:rFonts w:ascii="Times New Roman" w:eastAsia="Times New Roman" w:hAnsi="Times New Roman" w:cs="Times New Roman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свою вину признал в полном объеме, с протоколом согласен, просил строго не наказывать. Ходатайств и каких-либо заявлений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7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1rplc-2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</w:rPr>
        <w:t xml:space="preserve"> на юридических лиц - от ста тысяч до </w:t>
      </w:r>
      <w:r>
        <w:rPr>
          <w:rStyle w:val="cat-SumInWordsgrp-22rplc-3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что согласно Постановлению Правительства Российской Федерации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</w:rPr>
        <w:t>346</w:t>
      </w:r>
      <w:r>
        <w:rPr>
          <w:rFonts w:ascii="Times New Roman" w:eastAsia="Times New Roman" w:hAnsi="Times New Roman" w:cs="Times New Roman"/>
        </w:rPr>
        <w:t>333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их прекурсорах лицу, </w:t>
      </w:r>
      <w:r>
        <w:rPr>
          <w:rFonts w:ascii="Times New Roman" w:eastAsia="Times New Roman" w:hAnsi="Times New Roman" w:cs="Times New Roman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</w:t>
      </w:r>
      <w:r>
        <w:rPr>
          <w:rFonts w:ascii="Times New Roman" w:eastAsia="Times New Roman" w:hAnsi="Times New Roman" w:cs="Times New Roman"/>
        </w:rPr>
        <w:t>помещенные в 1 мешок, находящи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ся на хранении в</w:t>
      </w:r>
      <w:r>
        <w:rPr>
          <w:rFonts w:ascii="Times New Roman" w:eastAsia="Times New Roman" w:hAnsi="Times New Roman" w:cs="Times New Roman"/>
        </w:rPr>
        <w:t xml:space="preserve"> Центральной камере хранения наркотических средств МВД по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согласно квитанции РФ №022</w:t>
      </w:r>
      <w:r>
        <w:rPr>
          <w:rFonts w:ascii="Times New Roman" w:eastAsia="Times New Roman" w:hAnsi="Times New Roman" w:cs="Times New Roman"/>
        </w:rPr>
        <w:t>666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6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3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</w:rPr>
        <w:t>помещенные в 1 мешок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который </w:t>
      </w:r>
      <w:r>
        <w:rPr>
          <w:rFonts w:ascii="Times New Roman" w:eastAsia="Times New Roman" w:hAnsi="Times New Roman" w:cs="Times New Roman"/>
        </w:rPr>
        <w:t>опечатан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 xml:space="preserve">квитанции РФ </w:t>
      </w:r>
      <w:r>
        <w:rPr>
          <w:rFonts w:ascii="Times New Roman" w:eastAsia="Times New Roman" w:hAnsi="Times New Roman" w:cs="Times New Roman"/>
        </w:rPr>
        <w:t>№022</w:t>
      </w:r>
      <w:r>
        <w:rPr>
          <w:rFonts w:ascii="Times New Roman" w:eastAsia="Times New Roman" w:hAnsi="Times New Roman" w:cs="Times New Roman"/>
        </w:rPr>
        <w:t>666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Юридический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Style w:val="cat-Addressgrp-8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8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9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0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2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3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0410760300295003962510129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Style w:val="cat-FIOgrp-20rplc-64"/>
          <w:rFonts w:ascii="Times New Roman" w:eastAsia="Times New Roman" w:hAnsi="Times New Roman" w:cs="Times New Roman"/>
          <w:b/>
          <w:bCs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PhoneNumbergrp-27rplc-16">
    <w:name w:val="cat-PhoneNumber grp-2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26rplc-18">
    <w:name w:val="cat-Time grp-26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SumInWordsgrp-21rplc-29">
    <w:name w:val="cat-SumInWords grp-21 rplc-29"/>
    <w:basedOn w:val="DefaultParagraphFont"/>
  </w:style>
  <w:style w:type="character" w:customStyle="1" w:styleId="cat-SumInWordsgrp-22rplc-30">
    <w:name w:val="cat-SumInWords grp-2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0rplc-64">
    <w:name w:val="cat-FIO grp-20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