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Артюхова Александра Владимировича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УССР, гражданина Российской Федерации, официально нетрудоустроенного,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выдан Федеральной Миграционной Службой, код подразделения 900-002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11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5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вблизи дома № 7,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 Артюхов А.В. причинил телесные повреждения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 виде удара ладонью правой руки по липу, а так же тянул за волосы последней.</w:t>
      </w:r>
      <w:r>
        <w:rPr>
          <w:rFonts w:ascii="Times New Roman" w:eastAsia="Times New Roman" w:hAnsi="Times New Roman" w:cs="Times New Roman"/>
        </w:rPr>
        <w:t xml:space="preserve"> Таким образом причинил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Артюхов А.В.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</w:t>
      </w:r>
      <w:r>
        <w:rPr>
          <w:rFonts w:ascii="Times New Roman" w:eastAsia="Times New Roman" w:hAnsi="Times New Roman" w:cs="Times New Roman"/>
        </w:rPr>
        <w:t>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</w:t>
      </w:r>
      <w:r>
        <w:rPr>
          <w:rFonts w:ascii="Times New Roman" w:eastAsia="Times New Roman" w:hAnsi="Times New Roman" w:cs="Times New Roman"/>
        </w:rPr>
        <w:t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64676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Артюхову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заявлением,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4,7,13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3,5,6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8,10-12);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сведениями о совершенных данным лицом административных правонарушениях (л.д.9).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Артюхова А.В.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Артюховым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Артюхова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Артюхова Александра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0410760300295004872306130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5rplc-13">
    <w:name w:val="cat-Time grp-2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PassportDatagrp-24rplc-19">
    <w:name w:val="cat-PassportData grp-2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consultantplus://offline/ref=75E1EB7CD9C9237D3913F5416FE8668BA5980224510FEA8A88275E3684A8369E5BB010058C821980KFJ0L" TargetMode="External" /><Relationship Id="rId8" Type="http://schemas.openxmlformats.org/officeDocument/2006/relationships/hyperlink" Target="consultantplus://offline/ref=75E1EB7CD9C9237D3913F5416FE8668BA5980224510FEA8A88275E3684A8369E5BB010058583K1J8L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