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A54FA">
        <w:rPr>
          <w:rFonts w:ascii="Times New Roman" w:hAnsi="Times New Roman" w:cs="Times New Roman"/>
          <w:sz w:val="28"/>
          <w:szCs w:val="28"/>
        </w:rPr>
        <w:t>47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Харламова Никиты Олеговича,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Pr="00FA54FA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E1152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E1152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022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ым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Харламова Никит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5E2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5E2CBB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суток, либо обяза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A54F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5E2CB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5E2CB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5E2CB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5E2CBB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</w:t>
      </w:r>
      <w:r w:rsidRPr="005E2CBB">
        <w:rPr>
          <w:rFonts w:ascii="Times New Roman" w:hAnsi="Times New Roman" w:cs="Times New Roman"/>
          <w:color w:val="FFFFFF" w:themeColor="background1"/>
          <w:sz w:val="28"/>
          <w:szCs w:val="28"/>
        </w:rPr>
        <w:t>аконную силу</w:t>
      </w:r>
    </w:p>
    <w:p w:rsidR="004901C7" w:rsidRPr="005E2CB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2C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FA54FA" w:rsidP="004901C7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2C5A43" w:rsidRPr="00FA54FA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BB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3B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2CBB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C7090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19D1-C58F-4479-9442-92956C4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