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A31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055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главы крестьянского (фермерское) хозяйства «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="00A315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Большедворова Ильи Васильевича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Большедворов И.В.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являясь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главой КФХ «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расположенного по адресу: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="00605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исполнил обязанност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декларацию по налогу на добавленную стоимость за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фактически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была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2D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49E" w:rsidR="002D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 руководителем названного юридического лица в должности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хозяйства </w:t>
      </w:r>
      <w:r w:rsidRPr="002D149E" w:rsidR="002D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Большедворов И.В.</w:t>
      </w:r>
      <w:r w:rsidRPr="002D149E" w:rsidR="002D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судебное за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седание 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Большедворов И.В.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мотивированных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 об отложении дела в суд не подал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 в отсутстви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Большедворова И.В.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ценив представленные доказательства в их совокупности, суд приходит к следующим выводам.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представлять в установленном порядке в налоговый орган по месту учета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декларации (расчеты), если такая обязанность предусмотрена законодательством о налогах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алоговым периодом 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п.7 ст.6.1 Налогового кодекса Российской Федерации в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60B8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п.5 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ст.174 Налогового кодекса Российской Федерации налогоплательщики обязаны предоставит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 При этом в силу п.2 ст. 285 НК РФ отчетными периодами по налогу признаются первый квартал, 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полугодие и девять месяцев календарного года.</w:t>
      </w:r>
    </w:p>
    <w:p w:rsidR="00666829" w:rsidP="0066682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4E" w:rsidP="002D149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Большедворова И.В.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инкриминированного правонарушения подтверждается исс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ледованными в судебном заседании документами, а именно: 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подтверждением даты отправки;  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решением №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за совершение налогового правонарушения от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актом налоговой проверки№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E30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квитанцией о приеме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2D149E"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налоговая декларация на добавленную стоимость отчетный год </w:t>
      </w:r>
      <w:r w:rsidRPr="00217438" w:rsidR="00F74C67">
        <w:rPr>
          <w:rFonts w:ascii="Times New Roman" w:hAnsi="Times New Roman" w:cs="Times New Roman"/>
          <w:sz w:val="28"/>
          <w:szCs w:val="28"/>
        </w:rPr>
        <w:t>&lt;</w:t>
      </w:r>
      <w:r w:rsidR="00F74C67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F74C67">
        <w:rPr>
          <w:rFonts w:ascii="Times New Roman" w:hAnsi="Times New Roman" w:cs="Times New Roman"/>
          <w:sz w:val="28"/>
          <w:szCs w:val="28"/>
        </w:rPr>
        <w:t>&gt;</w:t>
      </w:r>
      <w:r w:rsidR="002D1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выпиской из ЕГРЮЛ.</w:t>
      </w:r>
      <w:r w:rsidR="00735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Субъек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тами правонарушения, предусмотренного ст. 15.5 Кодекса Российской Федерации об административных правонарушениях  являются руководитель организации-налогоплательщика при отсутствии в штате главного бухгалтера (бухгалтера).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В силу ст.2.4 КоАП РФ администрати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вной ответственности подлежит должностное лицо в случае совершения им административного правонарушения в связи с </w:t>
      </w:r>
      <w:r w:rsidRPr="002D149E">
        <w:rPr>
          <w:rFonts w:ascii="Times New Roman" w:eastAsia="Times New Roman" w:hAnsi="Times New Roman" w:cs="Times New Roman"/>
          <w:sz w:val="26"/>
          <w:szCs w:val="28"/>
        </w:rPr>
        <w:t>неисполнением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 либо ненадлежащим исполнением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своих служебных обязанностей. В соответствии с примечанием к данной статье, руководители организаци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являющихся учредителями юридических лиц, несут административную ответственность как должностные лица.</w:t>
      </w:r>
    </w:p>
    <w:p w:rsid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Согласно ч.3 ст. 2.1 КоАП РФ назначение административного наказания юридическому лицу не освобождает от административной ответственности за данное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Анализируя и оценивая, в соотве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Большедворова И.В.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>Установленных за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а, в отношении которого ведется производство по делу об административном правонарушении, не усматривается.</w:t>
      </w:r>
    </w:p>
    <w:p w:rsidR="002D149E" w:rsidRP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Большедворова И.В.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, не установлено.</w:t>
      </w:r>
    </w:p>
    <w:p w:rsidR="002D149E" w:rsidP="002D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минимальное административное наказание, предусмотренное санкцией ст. 15.5 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 xml:space="preserve">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</w:t>
      </w:r>
      <w:r w:rsidRPr="002D149E">
        <w:rPr>
          <w:rFonts w:ascii="Times New Roman" w:eastAsia="Times New Roman" w:hAnsi="Times New Roman" w:cs="Times New Roman"/>
          <w:sz w:val="28"/>
          <w:szCs w:val="28"/>
        </w:rPr>
        <w:t>тных интересов в рамках производства по делу об административном правонарушении.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 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0778"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810778"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крестьянского (фермерское) хозяйства «Подворье» Большедворова Иль</w:t>
      </w:r>
      <w:r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810778" w:rsidR="0081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Васильевича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EB60B8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810778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74C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810778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F74C67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74C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F74C67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F74C67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74C67">
        <w:rPr>
          <w:rFonts w:ascii="Times New Roman" w:hAnsi="Times New Roman" w:cs="Times New Roman"/>
          <w:color w:val="FFFFFF" w:themeColor="background1"/>
          <w:sz w:val="28"/>
          <w:szCs w:val="28"/>
        </w:rPr>
        <w:t>По</w:t>
      </w:r>
      <w:r w:rsidRPr="00F74C67">
        <w:rPr>
          <w:rFonts w:ascii="Times New Roman" w:hAnsi="Times New Roman" w:cs="Times New Roman"/>
          <w:color w:val="FFFFFF" w:themeColor="background1"/>
          <w:sz w:val="28"/>
          <w:szCs w:val="28"/>
        </w:rPr>
        <w:t>становление не вступило в законную силу.</w:t>
      </w:r>
    </w:p>
    <w:p w:rsidR="00C749C4" w:rsidRPr="00F74C67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74C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2D149E">
      <w:headerReference w:type="default" r:id="rId5"/>
      <w:pgSz w:w="11906" w:h="16838"/>
      <w:pgMar w:top="426" w:right="707" w:bottom="993" w:left="156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F74C67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83576091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559C0"/>
    <w:rsid w:val="00065D7C"/>
    <w:rsid w:val="00070E5E"/>
    <w:rsid w:val="000842E8"/>
    <w:rsid w:val="000A252F"/>
    <w:rsid w:val="000E212D"/>
    <w:rsid w:val="000E7432"/>
    <w:rsid w:val="00100AB7"/>
    <w:rsid w:val="0010377C"/>
    <w:rsid w:val="001615EE"/>
    <w:rsid w:val="001820EA"/>
    <w:rsid w:val="00187C38"/>
    <w:rsid w:val="001904B4"/>
    <w:rsid w:val="001B030D"/>
    <w:rsid w:val="001B596F"/>
    <w:rsid w:val="002020B8"/>
    <w:rsid w:val="00206A4E"/>
    <w:rsid w:val="0021662A"/>
    <w:rsid w:val="00217438"/>
    <w:rsid w:val="00242594"/>
    <w:rsid w:val="00266146"/>
    <w:rsid w:val="00273C65"/>
    <w:rsid w:val="00293C03"/>
    <w:rsid w:val="002D149E"/>
    <w:rsid w:val="002F1C97"/>
    <w:rsid w:val="002F2537"/>
    <w:rsid w:val="003012AD"/>
    <w:rsid w:val="003075D3"/>
    <w:rsid w:val="00312442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4182"/>
    <w:rsid w:val="0042221B"/>
    <w:rsid w:val="00457A0B"/>
    <w:rsid w:val="004619D0"/>
    <w:rsid w:val="004731E4"/>
    <w:rsid w:val="00476614"/>
    <w:rsid w:val="004907FF"/>
    <w:rsid w:val="004A4CB1"/>
    <w:rsid w:val="004A6A30"/>
    <w:rsid w:val="004E3BB5"/>
    <w:rsid w:val="004F0963"/>
    <w:rsid w:val="004F4C58"/>
    <w:rsid w:val="0051703D"/>
    <w:rsid w:val="00572E2B"/>
    <w:rsid w:val="00583838"/>
    <w:rsid w:val="005A6612"/>
    <w:rsid w:val="005A6DA3"/>
    <w:rsid w:val="005B1C99"/>
    <w:rsid w:val="005B1DE9"/>
    <w:rsid w:val="005D5B7E"/>
    <w:rsid w:val="00600632"/>
    <w:rsid w:val="00605CE8"/>
    <w:rsid w:val="0061471D"/>
    <w:rsid w:val="00614ADC"/>
    <w:rsid w:val="0063353D"/>
    <w:rsid w:val="00637DF6"/>
    <w:rsid w:val="00666829"/>
    <w:rsid w:val="0067157A"/>
    <w:rsid w:val="006826C0"/>
    <w:rsid w:val="006E30C6"/>
    <w:rsid w:val="006E6156"/>
    <w:rsid w:val="00700B4C"/>
    <w:rsid w:val="00702891"/>
    <w:rsid w:val="00702E30"/>
    <w:rsid w:val="0070436E"/>
    <w:rsid w:val="00720185"/>
    <w:rsid w:val="00735C43"/>
    <w:rsid w:val="007530F1"/>
    <w:rsid w:val="0077020D"/>
    <w:rsid w:val="0079209A"/>
    <w:rsid w:val="007A5F0B"/>
    <w:rsid w:val="007B27EE"/>
    <w:rsid w:val="007C47C9"/>
    <w:rsid w:val="007F009E"/>
    <w:rsid w:val="007F0D2B"/>
    <w:rsid w:val="007F3B35"/>
    <w:rsid w:val="0080428D"/>
    <w:rsid w:val="00810778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1583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B60B8"/>
    <w:rsid w:val="00EC7702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74C67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B3B7-9808-47AD-B5DB-B2985C8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