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2724AE">
        <w:rPr>
          <w:sz w:val="28"/>
          <w:szCs w:val="28"/>
          <w:lang w:eastAsia="ru-RU"/>
        </w:rPr>
        <w:t>2</w:t>
      </w:r>
      <w:r w:rsidR="00E85A24">
        <w:rPr>
          <w:sz w:val="28"/>
          <w:szCs w:val="28"/>
          <w:lang w:eastAsia="ru-RU"/>
        </w:rPr>
        <w:t>4</w:t>
      </w:r>
      <w:r w:rsidR="002724AE">
        <w:rPr>
          <w:sz w:val="28"/>
          <w:szCs w:val="28"/>
          <w:lang w:eastAsia="ru-RU"/>
        </w:rPr>
        <w:t>3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</w:t>
      </w:r>
      <w:r w:rsidR="00FE2BE4">
        <w:rPr>
          <w:rFonts w:eastAsia="Times New Roman"/>
          <w:sz w:val="28"/>
          <w:szCs w:val="28"/>
        </w:rPr>
        <w:t xml:space="preserve"> мая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723ADD" w:rsidRPr="00AB28B5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B46CDA">
        <w:rPr>
          <w:rFonts w:eastAsia="Times New Roman"/>
          <w:sz w:val="28"/>
          <w:szCs w:val="28"/>
        </w:rPr>
        <w:t>Хаменчук</w:t>
      </w:r>
      <w:r w:rsidR="00B46CDA">
        <w:rPr>
          <w:rFonts w:eastAsia="Times New Roman"/>
          <w:sz w:val="28"/>
          <w:szCs w:val="28"/>
        </w:rPr>
        <w:t xml:space="preserve"> Александра Ивановича,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</w:t>
      </w:r>
      <w:r w:rsidRPr="00AB28B5">
        <w:rPr>
          <w:rFonts w:eastAsia="Times New Roman"/>
          <w:sz w:val="28"/>
          <w:szCs w:val="28"/>
        </w:rPr>
        <w:t xml:space="preserve">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Хаменчук</w:t>
      </w:r>
      <w:r>
        <w:rPr>
          <w:rFonts w:eastAsia="Times New Roman"/>
          <w:sz w:val="28"/>
          <w:szCs w:val="28"/>
        </w:rPr>
        <w:t xml:space="preserve"> А.И</w:t>
      </w:r>
      <w:r w:rsidR="00723ADD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CE7CEC">
        <w:rPr>
          <w:rFonts w:eastAsia="Times New Roman"/>
          <w:sz w:val="28"/>
          <w:szCs w:val="28"/>
        </w:rPr>
        <w:t xml:space="preserve"> Республики Крым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>в состоянии опьянения, имел невнятную речь,</w:t>
      </w:r>
      <w:r w:rsidRPr="00AB28B5" w:rsidR="00743CB1">
        <w:rPr>
          <w:sz w:val="28"/>
          <w:szCs w:val="28"/>
        </w:rPr>
        <w:t xml:space="preserve"> неопрятный внешний вид,</w:t>
      </w:r>
      <w:r w:rsidRPr="00AB28B5" w:rsidR="00591543">
        <w:rPr>
          <w:sz w:val="28"/>
          <w:szCs w:val="28"/>
        </w:rPr>
        <w:t xml:space="preserve"> резкий запах алкоголя изо рта,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Хаменчук А.И</w:t>
      </w:r>
      <w:r w:rsidR="00963505">
        <w:rPr>
          <w:sz w:val="28"/>
          <w:szCs w:val="28"/>
        </w:rPr>
        <w:t>.</w:t>
      </w:r>
      <w:r w:rsidRPr="00AB28B5" w:rsidR="00A34E9B">
        <w:rPr>
          <w:sz w:val="28"/>
          <w:szCs w:val="28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</w:t>
      </w:r>
      <w:r w:rsidRPr="00AB28B5">
        <w:rPr>
          <w:color w:val="000000" w:themeColor="text1"/>
          <w:sz w:val="28"/>
          <w:szCs w:val="28"/>
        </w:rPr>
        <w:t xml:space="preserve">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</w:t>
      </w:r>
      <w:r w:rsidRPr="00AB28B5">
        <w:rPr>
          <w:rFonts w:eastAsiaTheme="minorHAnsi"/>
          <w:sz w:val="28"/>
          <w:szCs w:val="28"/>
        </w:rPr>
        <w:t>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</w:t>
      </w:r>
      <w:r w:rsidRPr="00AB28B5">
        <w:rPr>
          <w:rFonts w:eastAsiaTheme="minorHAnsi"/>
          <w:sz w:val="28"/>
          <w:szCs w:val="28"/>
        </w:rPr>
        <w:t>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Хаменчук</w:t>
      </w:r>
      <w:r>
        <w:rPr>
          <w:rFonts w:eastAsia="Times New Roman"/>
          <w:sz w:val="28"/>
          <w:szCs w:val="28"/>
        </w:rPr>
        <w:t xml:space="preserve"> А.И.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ин</w:t>
      </w:r>
      <w:r w:rsidRPr="00AB28B5">
        <w:rPr>
          <w:rFonts w:eastAsia="Times New Roman"/>
          <w:sz w:val="28"/>
          <w:szCs w:val="28"/>
        </w:rPr>
        <w:t xml:space="preserve">., </w:t>
      </w:r>
      <w:r w:rsidRPr="00AB28B5">
        <w:rPr>
          <w:rFonts w:eastAsia="Times New Roman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 xml:space="preserve">в состоянии опьянения, имел невнятную речь, неопрятный внешний вид, резкий </w:t>
      </w:r>
      <w:r w:rsidRPr="00AB28B5">
        <w:rPr>
          <w:sz w:val="28"/>
          <w:szCs w:val="28"/>
        </w:rPr>
        <w:t>запах алкоголя изо рта, чем оскорблял человеческое достоинство и общественную нравственность</w:t>
      </w:r>
      <w:r w:rsidRPr="00AB28B5" w:rsidR="0006160D">
        <w:rPr>
          <w:sz w:val="28"/>
          <w:szCs w:val="28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16345E">
        <w:rPr>
          <w:rFonts w:eastAsia="Times New Roman"/>
          <w:sz w:val="28"/>
          <w:szCs w:val="28"/>
        </w:rPr>
        <w:t>Хаменчук А.И.</w:t>
      </w:r>
      <w:r w:rsidRPr="00AB28B5" w:rsidR="0006160D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 </w:t>
      </w:r>
      <w:r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(л.д.3);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AB402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(л.д.4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16345E">
        <w:rPr>
          <w:rFonts w:eastAsia="Times New Roman"/>
          <w:sz w:val="28"/>
          <w:szCs w:val="28"/>
        </w:rPr>
        <w:t>Хаменчук А.И.</w:t>
      </w:r>
      <w:r w:rsidRPr="00AB28B5"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(л.д.6); 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рапортом  УУП ОМВД России по Белогорскому р-ну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(л.д.7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на имя </w:t>
      </w:r>
      <w:r w:rsidR="0016345E">
        <w:rPr>
          <w:rFonts w:eastAsia="Times New Roman"/>
          <w:sz w:val="28"/>
          <w:szCs w:val="28"/>
        </w:rPr>
        <w:t xml:space="preserve">Хаменчук А.И. от </w:t>
      </w:r>
      <w:r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sz w:val="28"/>
          <w:szCs w:val="28"/>
        </w:rPr>
        <w:t>.</w:t>
      </w:r>
      <w:r w:rsidR="00D15B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(л.д.8)</w:t>
      </w:r>
      <w:r w:rsidRPr="00AB28B5" w:rsidR="00036FD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фототаблицей (л.д.10),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16345E">
        <w:rPr>
          <w:rFonts w:eastAsia="Times New Roman"/>
          <w:sz w:val="28"/>
          <w:szCs w:val="28"/>
        </w:rPr>
        <w:t>Хаменчук А.И.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Хаменчук А.И.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</w:t>
      </w:r>
      <w:r w:rsidRPr="00AB28B5">
        <w:rPr>
          <w:rFonts w:eastAsia="Times New Roman"/>
          <w:sz w:val="28"/>
          <w:szCs w:val="28"/>
        </w:rPr>
        <w:t xml:space="preserve">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16345E">
        <w:rPr>
          <w:rFonts w:eastAsia="Times New Roman"/>
          <w:sz w:val="28"/>
          <w:szCs w:val="28"/>
        </w:rPr>
        <w:t>Хаменчук А.И.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 совершении инкри</w:t>
      </w:r>
      <w:r w:rsidRPr="00AB28B5">
        <w:rPr>
          <w:rFonts w:eastAsia="Times New Roman"/>
          <w:sz w:val="28"/>
          <w:szCs w:val="28"/>
        </w:rPr>
        <w:t>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16345E">
        <w:rPr>
          <w:rFonts w:eastAsia="Times New Roman"/>
          <w:sz w:val="28"/>
          <w:szCs w:val="28"/>
        </w:rPr>
        <w:t xml:space="preserve">Хаменчук А.И. </w:t>
      </w:r>
      <w:r w:rsidRPr="00AB28B5">
        <w:rPr>
          <w:rFonts w:eastAsia="Times New Roman"/>
          <w:sz w:val="28"/>
          <w:szCs w:val="28"/>
        </w:rPr>
        <w:t xml:space="preserve">квалифицирую по ст. 20.21 Кодекса Российской </w:t>
      </w:r>
      <w:r w:rsidRPr="00AB28B5">
        <w:rPr>
          <w:rFonts w:eastAsia="Times New Roman"/>
          <w:sz w:val="28"/>
          <w:szCs w:val="28"/>
        </w:rPr>
        <w:t>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AB28B5">
        <w:rPr>
          <w:rFonts w:eastAsia="Times New Roman"/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6345E">
        <w:rPr>
          <w:rFonts w:eastAsia="Times New Roman"/>
          <w:sz w:val="28"/>
          <w:szCs w:val="28"/>
        </w:rPr>
        <w:t xml:space="preserve">Хаменчук А.И.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</w:t>
      </w:r>
      <w:r w:rsidRPr="00AB28B5">
        <w:rPr>
          <w:rFonts w:eastAsia="Times New Roman"/>
          <w:sz w:val="28"/>
          <w:szCs w:val="28"/>
        </w:rPr>
        <w:t xml:space="preserve">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</w:t>
      </w:r>
      <w:r w:rsidRPr="00AB28B5">
        <w:rPr>
          <w:rFonts w:eastAsia="Times New Roman"/>
          <w:color w:val="000000"/>
          <w:sz w:val="28"/>
          <w:szCs w:val="28"/>
        </w:rPr>
        <w:t>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</w:t>
      </w:r>
      <w:r w:rsidRPr="00AB28B5">
        <w:rPr>
          <w:rFonts w:eastAsia="Times New Roman"/>
          <w:color w:val="000000"/>
          <w:sz w:val="28"/>
          <w:szCs w:val="28"/>
        </w:rPr>
        <w:t>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9D6FEC">
        <w:rPr>
          <w:rFonts w:eastAsia="Times New Roman"/>
          <w:sz w:val="28"/>
          <w:szCs w:val="28"/>
        </w:rPr>
        <w:t xml:space="preserve">Хаменчук А.И. </w:t>
      </w:r>
      <w:r w:rsidRPr="00AB28B5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Обстоятельств, </w:t>
      </w:r>
      <w:r w:rsidRPr="00AB28B5">
        <w:rPr>
          <w:rFonts w:eastAsia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</w:t>
      </w:r>
      <w:r w:rsidRPr="00AB28B5">
        <w:rPr>
          <w:rFonts w:eastAsia="Times New Roman"/>
          <w:sz w:val="28"/>
          <w:szCs w:val="28"/>
        </w:rPr>
        <w:t xml:space="preserve">4.1 Кодекса Российской Федерации об </w:t>
      </w:r>
      <w:r w:rsidRPr="00AB28B5">
        <w:rPr>
          <w:rFonts w:eastAsia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</w:t>
      </w:r>
      <w:r w:rsidRPr="00AB28B5">
        <w:rPr>
          <w:rFonts w:eastAsia="Times New Roman"/>
          <w:sz w:val="28"/>
          <w:szCs w:val="28"/>
        </w:rPr>
        <w:t xml:space="preserve">ающих ответственность, наличие обстоятельств, смягчающих ответственность, прихожу к выводу, что </w:t>
      </w:r>
      <w:r w:rsidR="009D6FEC">
        <w:rPr>
          <w:rFonts w:eastAsia="Times New Roman"/>
          <w:sz w:val="28"/>
          <w:szCs w:val="28"/>
        </w:rPr>
        <w:t xml:space="preserve">Хаменчук А.И. </w:t>
      </w:r>
      <w:r w:rsidRPr="00AB28B5">
        <w:rPr>
          <w:rFonts w:eastAsia="Times New Roman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</w:t>
      </w:r>
      <w:r w:rsidRPr="00AB28B5">
        <w:rPr>
          <w:rFonts w:eastAsia="Times New Roman"/>
          <w:sz w:val="28"/>
          <w:szCs w:val="28"/>
        </w:rPr>
        <w:t>кой Федерации об административных правонарушениях.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="009D6FEC">
        <w:rPr>
          <w:rFonts w:eastAsia="Times New Roman"/>
          <w:sz w:val="28"/>
          <w:szCs w:val="28"/>
        </w:rPr>
        <w:t>Хаменчук Александра Ивановича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виновным в совершении админист</w:t>
      </w:r>
      <w:r w:rsidRPr="00AB28B5">
        <w:rPr>
          <w:rFonts w:eastAsia="Times New Roman"/>
          <w:sz w:val="28"/>
          <w:szCs w:val="28"/>
        </w:rPr>
        <w:t>ративного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рублей.</w:t>
      </w:r>
    </w:p>
    <w:p w:rsidR="00BF3C20" w:rsidRPr="00AB28B5" w:rsidP="00AB28B5">
      <w:pPr>
        <w:ind w:firstLine="567"/>
        <w:contextualSpacing/>
        <w:rPr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 штрафа:</w:t>
      </w:r>
      <w:r w:rsidRPr="00AB28B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Разъяснить</w:t>
      </w:r>
      <w:r w:rsidRPr="00AB28B5" w:rsidR="00E205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6FEC" w:rsidR="009D6FEC">
        <w:rPr>
          <w:rFonts w:ascii="Times New Roman" w:eastAsia="Times New Roman" w:hAnsi="Times New Roman"/>
          <w:sz w:val="28"/>
          <w:szCs w:val="28"/>
        </w:rPr>
        <w:t>Хаменчук Александр</w:t>
      </w:r>
      <w:r w:rsidR="009D6FEC">
        <w:rPr>
          <w:rFonts w:ascii="Times New Roman" w:eastAsia="Times New Roman" w:hAnsi="Times New Roman"/>
          <w:sz w:val="28"/>
          <w:szCs w:val="28"/>
        </w:rPr>
        <w:t>у</w:t>
      </w:r>
      <w:r w:rsidRPr="009D6FEC" w:rsidR="009D6FEC">
        <w:rPr>
          <w:rFonts w:ascii="Times New Roman" w:eastAsia="Times New Roman" w:hAnsi="Times New Roman"/>
          <w:sz w:val="28"/>
          <w:szCs w:val="28"/>
        </w:rPr>
        <w:t xml:space="preserve"> Иванович</w:t>
      </w:r>
      <w:r w:rsidR="009D6FEC">
        <w:rPr>
          <w:rFonts w:ascii="Times New Roman" w:eastAsia="Times New Roman" w:hAnsi="Times New Roman"/>
          <w:sz w:val="28"/>
          <w:szCs w:val="28"/>
        </w:rPr>
        <w:t>у</w:t>
      </w:r>
      <w:r w:rsidRPr="0043253C">
        <w:rPr>
          <w:rFonts w:ascii="Times New Roman" w:eastAsia="Times New Roman" w:hAnsi="Times New Roman"/>
          <w:sz w:val="28"/>
          <w:szCs w:val="28"/>
        </w:rPr>
        <w:t>,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что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в соответствии со ст. 32.2 </w:t>
      </w:r>
      <w:r w:rsidRPr="00AB28B5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</w:t>
      </w:r>
      <w:r w:rsidRPr="00AB28B5">
        <w:rPr>
          <w:rFonts w:ascii="Times New Roman" w:eastAsia="Times New Roman" w:hAnsi="Times New Roman"/>
          <w:sz w:val="28"/>
          <w:szCs w:val="28"/>
        </w:rPr>
        <w:t>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AB28B5">
        <w:rPr>
          <w:rFonts w:ascii="Times New Roman" w:eastAsia="Times New Roman" w:hAnsi="Times New Roman"/>
          <w:sz w:val="28"/>
          <w:szCs w:val="28"/>
        </w:rPr>
        <w:t>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  <w:r w:rsidRPr="00C42274">
        <w:rPr>
          <w:color w:val="000000" w:themeColor="text1"/>
          <w:sz w:val="28"/>
          <w:szCs w:val="28"/>
        </w:rPr>
        <w:t xml:space="preserve">Мировой судья: </w:t>
      </w:r>
      <w:r w:rsidRPr="002D357F">
        <w:rPr>
          <w:color w:val="FFFFFF" w:themeColor="background1"/>
          <w:sz w:val="28"/>
          <w:szCs w:val="28"/>
        </w:rPr>
        <w:t>/подпись/</w:t>
      </w:r>
      <w:r w:rsidRPr="00C42274">
        <w:rPr>
          <w:color w:val="000000" w:themeColor="text1"/>
          <w:sz w:val="28"/>
          <w:szCs w:val="28"/>
        </w:rPr>
        <w:t xml:space="preserve">                                                      С.Р. Новиков </w:t>
      </w: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2D357F" w:rsidP="00AB28B5">
      <w:pPr>
        <w:ind w:firstLine="567"/>
        <w:rPr>
          <w:color w:val="FFFFFF" w:themeColor="background1"/>
          <w:sz w:val="28"/>
          <w:szCs w:val="28"/>
        </w:rPr>
      </w:pPr>
      <w:r w:rsidRPr="002D357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2D357F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2D357F" w:rsidP="00AB28B5">
      <w:pPr>
        <w:ind w:firstLine="567"/>
        <w:rPr>
          <w:color w:val="FFFFFF" w:themeColor="background1"/>
          <w:sz w:val="28"/>
          <w:szCs w:val="28"/>
        </w:rPr>
      </w:pPr>
      <w:r w:rsidRPr="002D357F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2D357F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2D357F" w:rsidP="00AB28B5">
      <w:pPr>
        <w:ind w:firstLine="567"/>
        <w:rPr>
          <w:color w:val="FFFFFF" w:themeColor="background1"/>
          <w:sz w:val="28"/>
          <w:szCs w:val="28"/>
        </w:rPr>
      </w:pPr>
      <w:r w:rsidRPr="002D357F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C42274" w:rsidP="00AB28B5">
      <w:pPr>
        <w:ind w:firstLine="567"/>
        <w:rPr>
          <w:color w:val="000000" w:themeColor="text1"/>
          <w:sz w:val="28"/>
          <w:szCs w:val="28"/>
        </w:rPr>
      </w:pPr>
    </w:p>
    <w:p w:rsidR="002C5A43" w:rsidRPr="00C42274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3525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D357F"/>
    <w:rsid w:val="002F1417"/>
    <w:rsid w:val="0030107A"/>
    <w:rsid w:val="00314F25"/>
    <w:rsid w:val="00326552"/>
    <w:rsid w:val="00361804"/>
    <w:rsid w:val="00362923"/>
    <w:rsid w:val="00370932"/>
    <w:rsid w:val="00382408"/>
    <w:rsid w:val="003B2B1A"/>
    <w:rsid w:val="0043253C"/>
    <w:rsid w:val="00445537"/>
    <w:rsid w:val="004C5D8F"/>
    <w:rsid w:val="004E296F"/>
    <w:rsid w:val="005843C1"/>
    <w:rsid w:val="00591543"/>
    <w:rsid w:val="005B77AD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E21A3"/>
    <w:rsid w:val="009369A0"/>
    <w:rsid w:val="00963505"/>
    <w:rsid w:val="009666FC"/>
    <w:rsid w:val="00983258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F07C7"/>
    <w:rsid w:val="00BF2939"/>
    <w:rsid w:val="00BF3C20"/>
    <w:rsid w:val="00C13940"/>
    <w:rsid w:val="00C27AAB"/>
    <w:rsid w:val="00C42274"/>
    <w:rsid w:val="00C545F8"/>
    <w:rsid w:val="00C74A51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20548"/>
    <w:rsid w:val="00E22256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C54C2"/>
    <w:rsid w:val="00FE2BE4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