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895E9B" w:rsidP="00895E9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5-32-</w:t>
      </w:r>
      <w:r w:rsidRPr="00895E9B" w:rsidR="00A636E1">
        <w:rPr>
          <w:rFonts w:ascii="Times New Roman" w:hAnsi="Times New Roman" w:cs="Times New Roman"/>
          <w:color w:val="000000" w:themeColor="text1"/>
          <w:sz w:val="28"/>
          <w:szCs w:val="28"/>
        </w:rPr>
        <w:t>245/2023</w:t>
      </w:r>
    </w:p>
    <w:p w:rsidR="00A5152E" w:rsidRPr="00895E9B" w:rsidP="00895E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мая 2023 года                                                          </w:t>
      </w:r>
      <w:r w:rsidRPr="00895E9B" w:rsidR="00F9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895E9B" w:rsidR="00A636E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Александра Валерьевича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E9B" w:rsidR="0073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помещении судебного участка  №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 судебного района Республики Крым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 адресу: г.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Б. Чобан-Заде, 26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об административном правонарушении в отношении </w:t>
      </w:r>
      <w:r w:rsidRPr="00895E9B" w:rsidR="00A6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Торубалко Александра Валерьевича,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признакам правонарушения, предусмотренного ч.3 ст. 12.8 Кодекса Российской Федерации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</w:t>
      </w:r>
    </w:p>
    <w:p w:rsidR="00A5152E" w:rsidRPr="00895E9B" w:rsidP="00895E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управлял транспортным средством</w:t>
      </w:r>
      <w:r w:rsidRPr="00895E9B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5E9B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в  состоянии опьянения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95E9B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>не имея права управления транспортными средствами,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 этом такие действия не содержали уголовно наказуемого деяния,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нарушил п.2.7 ПДД РФ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вину в инкриминируемом пр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авонарушении признал, в содеянном раскаялся, пояснив, что действительно управлял транспортным средством</w:t>
      </w:r>
      <w:r w:rsidRPr="00895E9B" w:rsidR="0060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E9B" w:rsidR="0060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в  состоянии опьянения и не имея права управления транспортными средствами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лицо, в отношении которого ведется производство по делу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правонарушении, исследовав материалы дела, прихожу к следующему.</w:t>
      </w:r>
    </w:p>
    <w:p w:rsidR="006869CF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пункта 2.1.1 </w:t>
      </w:r>
      <w:r w:rsidRPr="00895E9B" w:rsidR="0038372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РФ от 23.10.1993 N 1090 "О Правилах дорожного движения"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водитель механического транспортного средства обязан иметь при себ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по требованию сотрудников полиции передавать им, для проверки 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водительское удостоверение на право управления транспортным средством соответствующей категории или подкатегории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требованиям п. 2.7 </w:t>
      </w:r>
      <w:r w:rsidRPr="00895E9B" w:rsidR="009E25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РФ от 23.10.1993 N 1090 "О Правилах дорожного движения"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утомленном состоянии, ставящем под угрозу безопасность движения.</w:t>
      </w:r>
    </w:p>
    <w:p w:rsidR="006869CF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1 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9CF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примечания к ст. 12.1 Кодекса Российской Федерации об административны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869CF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 2 Федерального закона от 10.12.1995 №196-ФЗ «О безопасности дорожного движения» транспортное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 - устройство, предназначенное для перевозки по дорогам людей, грузов или оборудования, установленного на нем.</w:t>
      </w:r>
    </w:p>
    <w:p w:rsidR="006869CF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для управления транспортным средством требуется наличие специального права, действия лица, управляющего таким транспортным сре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дством в состоянии опьянения, образуют состав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примечанию к ст. 12.8 Кодекса Российской Федерации об администр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ативных правонарушениях </w:t>
      </w:r>
      <w:r w:rsidRPr="00895E9B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895E9B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управл</w:t>
      </w:r>
      <w:r w:rsidRPr="00895E9B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лицом, находящимся в состоянии опьянения (алкогольного, наркотического или иного) и не имеющим права управления транспортными средствами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соот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правонарушениях. 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ельствование на состояние опьянения осуществляются в порядке, установленном Правительством Российской Федерации.</w:t>
      </w:r>
    </w:p>
    <w:p w:rsidR="00895E9B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как разъяснено в абз. 10 п. 20 постановления Пленума Верховного Суда Российской Федерации от 25 июня 2019 года N 20 "О некоторых вопр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 доказательством состояния опьянения такого водителя будет являться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акт освидетельствования на состояние алкогольного опьянения или акт медицинского освидетельствования на состояние опьянения.</w:t>
      </w:r>
    </w:p>
    <w:p w:rsidR="00D42876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Торубалко А.В.,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адресу: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управлял транспортным средством –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номер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 состоянии опьянения и не имея права управления транспортными средствами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, при  этом такие действия не содержали уголовно наказуемого деяния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876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обстоятельство подтверждается</w:t>
      </w:r>
      <w:r w:rsidRPr="00895E9B" w:rsidR="00F761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протоколом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отстранении от управления транспортным средством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которому у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состояние алкогольного опьянения и распечаткой результатов проведенного исследования;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письменным объяснением Торубалко А.В.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видеозаписью события административного правонарушения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сведениями о допущенных Торубалко А.В. нарушений; карточкой учета т/с; 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к протоколу об административном правонарушении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05477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согласно акту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895E9B" w:rsidR="008B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проведено исследование выдыхаемого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 на наличие алкоголя с применением технического средства измерения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показало концентрацию абсолютного этилового </w:t>
      </w:r>
      <w:r w:rsidRPr="00895E9B" w:rsidR="000F2B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пирта в в</w:t>
      </w:r>
      <w:r w:rsidRPr="00895E9B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ыдыхаемом воздухе: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мг/л выдыхаемого воздуха, что превышает установленную допустимую концентрацию абсолютного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этилового спирта, а именно: 0,16 миллиграмма на один литр выдыхаемого воздуха. Данные обстоятельства также подтверждаются распечаткой записи результатов исследования.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информационной системы ФИС ГИБДД-М 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водитель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удостоверение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получал. </w:t>
      </w:r>
      <w:r w:rsidRPr="00895E9B" w:rsidR="00F427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оказательств </w:t>
      </w:r>
      <w:r w:rsidRPr="00895E9B" w:rsidR="00F4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водительского удостоверения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представлено и лицом, в отношении которого ведется производство по делу об административном правонарушении.</w:t>
      </w:r>
    </w:p>
    <w:p w:rsidR="00405477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обеспечения производства по делу </w:t>
      </w:r>
      <w:r w:rsidRPr="00895E9B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применены к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95E9B" w:rsidR="008B7FE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видеозаписи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477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5E9B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</w:t>
      </w:r>
      <w:r w:rsidRPr="00895E9B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состоянии опьянения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95E9B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имея права управления транспортными средствами, </w:t>
      </w:r>
      <w:r w:rsidRPr="00895E9B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>не выразил, такой возможности лишен не был.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8D4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под сомнение изложенные в акте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895E9B" w:rsidR="00607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Pr="00895E9B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ем свидетельствует его личная подпись в акте</w:t>
      </w:r>
      <w:r w:rsidRPr="00895E9B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36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распечатке записи результатов исследования.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27E2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Торубалко А.В.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дминистративном правонарушении процессуальные документы, не имеется. 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протоколе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 указал</w:t>
      </w:r>
      <w:r w:rsidRPr="00895E9B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том, что просит назначить ему минимальное наказание в связи с чем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согласии с выявленным правонарушени</w:t>
      </w:r>
      <w:r w:rsidRPr="00895E9B" w:rsidR="005A48D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квалификацию действий не оспаривал.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895E9B" w:rsidR="0036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895E9B" w:rsidR="0036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36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надлежащим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допустимым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подтверждающим</w:t>
      </w:r>
      <w:r w:rsidRPr="00895E9B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инкриминируемого правонарушения. 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установленные по делу обст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оятельства, вина </w:t>
      </w:r>
      <w:r w:rsidRPr="00895E9B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>Куличенко И.В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об административном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протоколом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актом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у Торубалко А.В. установлено состояние алкогольного опьянения и распечаткой результатов проведенного исследования; письменным объяснением Торубалко А.В. от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видеозаписью события административного правонарушения; сведениями о допущенных Торубалко А.В. нарушений; карточкой учета т/с; справкой к протоколу об административном правонарушении 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F4588" w:rsidR="006F45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895E9B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>пояснением лица, в отношении которого ведется производство по делу об административном правонарушении, видеозаписью события административного правонарушения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квалифицирую по ч. </w:t>
      </w:r>
      <w:r w:rsidRPr="00895E9B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12.8 Кодекса Российской Федерации об административных правонарушен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 как </w:t>
      </w:r>
      <w:r w:rsidRPr="00895E9B" w:rsidR="0014487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, если такие действия не содержат уголовно наказуемого деяния.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ны не были.</w:t>
      </w:r>
    </w:p>
    <w:p w:rsidR="007317C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871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 смягчающи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отягчающих административную ответственность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Торубалко А.В</w:t>
      </w:r>
      <w:r w:rsidRPr="00895E9B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5E9B" w:rsidR="00364D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не устано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влено.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 w:rsidRPr="00895E9B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смягчающих,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ответственность, прихожу к выводу, что </w:t>
      </w:r>
      <w:r w:rsidRPr="00895E9B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Торубалко А.В.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подвергнуть наказанию в виде административного ареста в пределах санкции, предусмотренно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й ч. 3 ст. 12.8 Кодекса Российской Федерации об административных правонарушениях.</w:t>
      </w:r>
    </w:p>
    <w:p w:rsidR="00AA3DC8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2.6 Кодекса Российской Федерации об административных правонарушениях иностранные граждане, лица без гражданства и иностранные юридические лица, сове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ршившие на территории Российской Федерации административные правонарушения, подлежат административной ответственности на общих основаниях.</w:t>
      </w:r>
    </w:p>
    <w:p w:rsidR="00144871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наказания в соответствии с положениями </w:t>
      </w:r>
      <w:r w:rsidRPr="00895E9B" w:rsidR="005A4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3 ст. 3.6, 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ч.2 ст. 3.9 Кодекса Российской Федерации об административных правонарушениях.</w:t>
      </w:r>
    </w:p>
    <w:p w:rsidR="00A5152E" w:rsidRPr="00895E9B" w:rsidP="00895E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 и руководствуясь ст. ст. 29.9, 29.10, 30.1 Кодекса Российской Федерации об административных п</w:t>
      </w: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равонарушениях, мировой судья,</w:t>
      </w:r>
    </w:p>
    <w:p w:rsidR="00A5152E" w:rsidRPr="00895E9B" w:rsidP="00895E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144871" w:rsidRPr="00895E9B" w:rsidP="00895E9B">
      <w:pPr>
        <w:pStyle w:val="BodyTextIndent"/>
        <w:ind w:firstLine="567"/>
        <w:contextualSpacing/>
        <w:rPr>
          <w:color w:val="000000" w:themeColor="text1"/>
          <w:sz w:val="28"/>
          <w:szCs w:val="28"/>
        </w:rPr>
      </w:pPr>
      <w:r w:rsidRPr="00895E9B">
        <w:rPr>
          <w:color w:val="000000" w:themeColor="text1"/>
          <w:sz w:val="28"/>
          <w:szCs w:val="28"/>
        </w:rPr>
        <w:t xml:space="preserve">Признать </w:t>
      </w:r>
      <w:r w:rsidRPr="00895E9B" w:rsidR="00553CA1">
        <w:rPr>
          <w:color w:val="000000" w:themeColor="text1"/>
          <w:sz w:val="28"/>
          <w:szCs w:val="28"/>
        </w:rPr>
        <w:t xml:space="preserve">Торубалко Александра Валерьевича </w:t>
      </w:r>
      <w:r w:rsidRPr="00895E9B" w:rsidR="007A5F6A">
        <w:rPr>
          <w:color w:val="000000" w:themeColor="text1"/>
          <w:sz w:val="28"/>
          <w:szCs w:val="28"/>
        </w:rPr>
        <w:t>а</w:t>
      </w:r>
      <w:r w:rsidRPr="00895E9B" w:rsidR="007317CE">
        <w:rPr>
          <w:color w:val="000000" w:themeColor="text1"/>
          <w:sz w:val="28"/>
          <w:szCs w:val="28"/>
        </w:rPr>
        <w:t xml:space="preserve"> </w:t>
      </w:r>
      <w:r w:rsidRPr="00895E9B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</w:t>
      </w:r>
      <w:r w:rsidRPr="00895E9B">
        <w:rPr>
          <w:color w:val="000000" w:themeColor="text1"/>
          <w:sz w:val="28"/>
          <w:szCs w:val="28"/>
        </w:rPr>
        <w:t xml:space="preserve">и назначить ему административное  наказание в виде административного ареста сроком на </w:t>
      </w:r>
      <w:r w:rsidRPr="006F4588" w:rsidR="006F4588">
        <w:rPr>
          <w:color w:val="000000" w:themeColor="text1"/>
          <w:sz w:val="28"/>
          <w:szCs w:val="28"/>
        </w:rPr>
        <w:t>&lt;</w:t>
      </w:r>
      <w:r w:rsidR="006F4588">
        <w:rPr>
          <w:color w:val="000000" w:themeColor="text1"/>
          <w:sz w:val="28"/>
          <w:szCs w:val="28"/>
        </w:rPr>
        <w:t>данные изъяты</w:t>
      </w:r>
      <w:r w:rsidRPr="006F4588" w:rsidR="006F4588">
        <w:rPr>
          <w:color w:val="000000" w:themeColor="text1"/>
          <w:sz w:val="28"/>
          <w:szCs w:val="28"/>
        </w:rPr>
        <w:t>&gt;</w:t>
      </w:r>
      <w:r w:rsidRPr="00895E9B">
        <w:rPr>
          <w:color w:val="000000" w:themeColor="text1"/>
          <w:sz w:val="28"/>
          <w:szCs w:val="28"/>
        </w:rPr>
        <w:t xml:space="preserve">суток. </w:t>
      </w:r>
    </w:p>
    <w:p w:rsidR="00553CA1" w:rsidRPr="00895E9B" w:rsidP="00895E9B">
      <w:pPr>
        <w:pStyle w:val="BodyTextIndent"/>
        <w:ind w:firstLine="720"/>
        <w:rPr>
          <w:color w:val="000000" w:themeColor="text1"/>
          <w:sz w:val="28"/>
          <w:szCs w:val="28"/>
        </w:rPr>
      </w:pPr>
      <w:r w:rsidRPr="00895E9B">
        <w:rPr>
          <w:color w:val="000000" w:themeColor="text1"/>
          <w:sz w:val="28"/>
          <w:szCs w:val="28"/>
        </w:rPr>
        <w:t>Срок административного ареста Торубалко А.В. исчислять с момента</w:t>
      </w:r>
    </w:p>
    <w:p w:rsidR="00553CA1" w:rsidRPr="00895E9B" w:rsidP="00895E9B">
      <w:pPr>
        <w:pStyle w:val="BodyTextIndent"/>
        <w:ind w:firstLine="0"/>
        <w:rPr>
          <w:color w:val="000000" w:themeColor="text1"/>
          <w:sz w:val="28"/>
          <w:szCs w:val="28"/>
        </w:rPr>
      </w:pPr>
      <w:r w:rsidRPr="00895E9B">
        <w:rPr>
          <w:color w:val="000000" w:themeColor="text1"/>
          <w:sz w:val="28"/>
          <w:szCs w:val="28"/>
        </w:rPr>
        <w:t>его задержания.</w:t>
      </w:r>
    </w:p>
    <w:p w:rsidR="00553CA1" w:rsidRPr="00895E9B" w:rsidP="00895E9B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895E9B">
        <w:rPr>
          <w:color w:val="000000" w:themeColor="text1"/>
          <w:sz w:val="28"/>
          <w:szCs w:val="28"/>
        </w:rPr>
        <w:t>Постановление подлежит немедленному исполнению в соответствии</w:t>
      </w:r>
    </w:p>
    <w:p w:rsidR="00553CA1" w:rsidRPr="00895E9B" w:rsidP="00895E9B">
      <w:pPr>
        <w:pStyle w:val="BodyTextIndent"/>
        <w:ind w:firstLine="0"/>
        <w:rPr>
          <w:color w:val="000000" w:themeColor="text1"/>
          <w:sz w:val="28"/>
          <w:szCs w:val="28"/>
        </w:rPr>
      </w:pPr>
      <w:r w:rsidRPr="00895E9B">
        <w:rPr>
          <w:color w:val="000000" w:themeColor="text1"/>
          <w:sz w:val="28"/>
          <w:szCs w:val="28"/>
        </w:rPr>
        <w:t>со ст.3</w:t>
      </w:r>
      <w:r w:rsidRPr="00895E9B">
        <w:rPr>
          <w:color w:val="000000" w:themeColor="text1"/>
          <w:sz w:val="28"/>
          <w:szCs w:val="28"/>
        </w:rPr>
        <w:t>2.8 КоАП РФ.</w:t>
      </w:r>
    </w:p>
    <w:p w:rsidR="00B85751" w:rsidRPr="00895E9B" w:rsidP="00895E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через судебный участок №32</w:t>
      </w:r>
      <w:r w:rsidRPr="00895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Белогорского судебного района (Белогорский муниципальный район) Республики Крым в течение 10 суток со дня вручения или получения копии </w:t>
      </w:r>
      <w:r w:rsidRPr="0089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постановления.</w:t>
      </w: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95E9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895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С.Р. Новиков</w:t>
      </w: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95E9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95E9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85751" w:rsidRPr="00895E9B" w:rsidP="00895E9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95E9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Мировой судья:</w:t>
      </w:r>
      <w:r w:rsidRPr="00895E9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секретарь с/з:</w:t>
      </w:r>
    </w:p>
    <w:p w:rsidR="002C5A43" w:rsidRPr="00815319" w:rsidP="007317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972E1">
      <w:footerReference w:type="default" r:id="rId5"/>
      <w:pgSz w:w="11906" w:h="16838"/>
      <w:pgMar w:top="851" w:right="567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588">
          <w:rPr>
            <w:noProof/>
          </w:rPr>
          <w:t>5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C16A0"/>
    <w:rsid w:val="000F2B7D"/>
    <w:rsid w:val="00112ADB"/>
    <w:rsid w:val="00142E77"/>
    <w:rsid w:val="00144871"/>
    <w:rsid w:val="001E6EC1"/>
    <w:rsid w:val="001F140D"/>
    <w:rsid w:val="00261049"/>
    <w:rsid w:val="002C5A43"/>
    <w:rsid w:val="00326552"/>
    <w:rsid w:val="00364DFB"/>
    <w:rsid w:val="0038372C"/>
    <w:rsid w:val="003959DA"/>
    <w:rsid w:val="00405477"/>
    <w:rsid w:val="00412DD5"/>
    <w:rsid w:val="00553CA1"/>
    <w:rsid w:val="005A48D4"/>
    <w:rsid w:val="00601105"/>
    <w:rsid w:val="00607F2B"/>
    <w:rsid w:val="006869CF"/>
    <w:rsid w:val="006F4588"/>
    <w:rsid w:val="00717C0D"/>
    <w:rsid w:val="007310E4"/>
    <w:rsid w:val="007317CE"/>
    <w:rsid w:val="0073297F"/>
    <w:rsid w:val="007A5F6A"/>
    <w:rsid w:val="007F6E17"/>
    <w:rsid w:val="008106A8"/>
    <w:rsid w:val="00815319"/>
    <w:rsid w:val="00832476"/>
    <w:rsid w:val="00895E9B"/>
    <w:rsid w:val="008B7FE5"/>
    <w:rsid w:val="009E252D"/>
    <w:rsid w:val="00A036D8"/>
    <w:rsid w:val="00A5152E"/>
    <w:rsid w:val="00A52DDC"/>
    <w:rsid w:val="00A636E1"/>
    <w:rsid w:val="00A94117"/>
    <w:rsid w:val="00AA3DC8"/>
    <w:rsid w:val="00AB0863"/>
    <w:rsid w:val="00B31CE2"/>
    <w:rsid w:val="00B55AA4"/>
    <w:rsid w:val="00B85751"/>
    <w:rsid w:val="00BD6F3A"/>
    <w:rsid w:val="00C545F8"/>
    <w:rsid w:val="00C94100"/>
    <w:rsid w:val="00D34A2D"/>
    <w:rsid w:val="00D42876"/>
    <w:rsid w:val="00D50EC5"/>
    <w:rsid w:val="00DA354E"/>
    <w:rsid w:val="00F427E2"/>
    <w:rsid w:val="00F63755"/>
    <w:rsid w:val="00F76192"/>
    <w:rsid w:val="00F97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B82A-9D8E-4020-8C28-F2552FBD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