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0038-01-2023-000403-25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5-38-66/2023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«***» Стряпина Андрея Викторовича,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руководителем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Стряпиным Андреем Викторовичем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г. Местом совершение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Стряпин А.В. на судебное заседание не явился, о времени и месте его проведения извещен надлежащим образом, причины неявки суду не сообщил. При указанных обстоятельствах, мировой судья считает возможным рассмотреть дело об административном правонарушении в отсутствие Стряпина А.В.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А.В.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*** «***» Стряпина Андрея Викторовича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173D82-31EC-4FB1-8BC6-E292AB62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