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0038-01-2023-000409-07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5-38-72/2023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22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 «***» Стряпиной Эльвины Ривавны,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»,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совершила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жительств.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Стряпиной Эльвиной Ривавной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Местом совершение правонарушения является –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.      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Стряпина Э.Р. на судебное заседание не явилась, о времени и месте его проведения извещена надлежащим образом, причины неявки суду не сообщила. При указанных обстоятельствах, мировой судья считает возможным рассмотреть дело об административном правонарушении в отсутствие Стряпиной Э.Р.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совершила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Э.Р.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>» Стряпиной Э.Р.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>» Стряпину Эльвину Ривавну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6E0908-6216-4416-B4BF-D982278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