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0038-01-2023-000533-23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5-38-97/2023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22 марта 2022 года</w:t>
        <w:tab/>
        <w:t xml:space="preserve">  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 «***» - Дворяшина Владимира Ивановича</w:t>
      </w:r>
      <w:r>
        <w:rPr>
          <w:color w:val="0000FF"/>
          <w:sz w:val="26"/>
          <w:szCs w:val="26"/>
        </w:rPr>
        <w:t xml:space="preserve">, 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 ст. 15.6 Кодекса Российской Федерации об административных правонарушениях,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Дворяшин В.И., являясь </w:t>
      </w:r>
      <w:r>
        <w:rPr>
          <w:b/>
          <w:color w:val="0000FF"/>
          <w:sz w:val="26"/>
          <w:szCs w:val="26"/>
        </w:rPr>
        <w:t>*** ***</w:t>
      </w:r>
      <w:r>
        <w:rPr>
          <w:color w:val="0000FF"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», </w:t>
      </w:r>
      <w:r>
        <w:rPr>
          <w:sz w:val="26"/>
          <w:szCs w:val="26"/>
        </w:rPr>
        <w:t xml:space="preserve">расположенного по адресу: 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>
        <w:rPr>
          <w:sz w:val="26"/>
          <w:szCs w:val="26"/>
        </w:rPr>
        <w:t xml:space="preserve"> совершил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Межрайонной ИФНС России №6 по Республике Крым в порядке, установленном статьей 93.1 Налогового кодекса Российской Федерации (далее - НК РФ).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Так,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г. Межрайонной ИФНС России №6 по Республике Крым (Исполнитель) получено поручение от 26 апреля 2021 № 16-11/7799, направленное ИФНС России по № 22 по г. Москве (Инициатор) об истребовании документов (информации).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основании п.2 статьи 93.Кодекса вне рамок проведения налоговых проверок у налогового органа возникла обоснованная необходимость получения информации, в связи с чем Исполнителю поручено истребовать документы и информацию у налогоплательщика Общество с ограниченной ответственностью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» (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»),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/КПП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, по взаимоотношениям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»,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/КПП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А именно: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1) Документы: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1.1</w:t>
        <w:tab/>
        <w:t>Договор (контракт, соглашение) №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от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г., с приложением всех спецификации, приложений, дополнений, по взаимоотношениям с </w:t>
      </w:r>
      <w:r>
        <w:rPr>
          <w:b/>
          <w:color w:val="0000FF"/>
          <w:sz w:val="26"/>
          <w:szCs w:val="26"/>
          <w:lang w:bidi="ru-RU"/>
        </w:rPr>
        <w:t>******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ООО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);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1.2</w:t>
        <w:tab/>
        <w:t xml:space="preserve">Счет-фактуры (выставленные/полученные) по договору с </w:t>
      </w:r>
      <w:r>
        <w:rPr>
          <w:b/>
          <w:color w:val="0000FF"/>
          <w:sz w:val="26"/>
          <w:szCs w:val="26"/>
          <w:lang w:bidi="ru-RU"/>
        </w:rPr>
        <w:t>*** 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»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1.3</w:t>
        <w:tab/>
        <w:t xml:space="preserve">Счет на оплату товара (работ, услуг) по договору с </w:t>
      </w:r>
      <w:r>
        <w:rPr>
          <w:b/>
          <w:color w:val="0000FF"/>
          <w:sz w:val="26"/>
          <w:szCs w:val="26"/>
          <w:lang w:bidi="ru-RU"/>
        </w:rPr>
        <w:t>*** 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1.4</w:t>
        <w:tab/>
        <w:t xml:space="preserve">Товарные накладные по договору с </w:t>
      </w:r>
      <w:r>
        <w:rPr>
          <w:b/>
          <w:color w:val="0000FF"/>
          <w:sz w:val="26"/>
          <w:szCs w:val="26"/>
          <w:lang w:bidi="ru-RU"/>
        </w:rPr>
        <w:t>*** 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).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1.5</w:t>
        <w:tab/>
        <w:t xml:space="preserve">Товарно-транспортные накладные по договору с </w:t>
      </w:r>
      <w:r>
        <w:rPr>
          <w:b/>
          <w:color w:val="0000FF"/>
          <w:sz w:val="26"/>
          <w:szCs w:val="26"/>
          <w:lang w:bidi="ru-RU"/>
        </w:rPr>
        <w:t>******</w:t>
      </w:r>
      <w:r>
        <w:rPr>
          <w:color w:val="000000"/>
          <w:lang w:bidi="ru-RU"/>
        </w:rPr>
        <w:t xml:space="preserve"> 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): Копии документов, подтверждающие транспортировку товара (путевые листы, товарные документы, договоры, заключенные с транспортными компаниями о перевозке груза, акты и т.п),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1.6</w:t>
        <w:tab/>
        <w:t xml:space="preserve">Акты о приемке выполненных работ (Акты приемки-сдачи) по договору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1.7</w:t>
        <w:tab/>
        <w:t xml:space="preserve">Договоры аренды помещений с приложениями, в т.ч. свидетельства о собственности арендуемых помещений: (по фактическому и юридическому адресу, по адресу местонахождения складских помещений), действующие и заключенные за период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1.8</w:t>
        <w:tab/>
        <w:t xml:space="preserve">Доверенности на всех представителей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), имеющих право подписи на финансовых документах (путевых листах, актах приема-передачи, счет-фактурах и т.д),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1.9</w:t>
        <w:tab/>
        <w:t xml:space="preserve">Список материально-ответственных лиц, с указанием должности, контактных данных,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2) Информацию: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2.1 - как осуществлялась оплата по договору;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 xml:space="preserve">предоставить информацию о видах и объеме выполненных работ (услуг), адреса всех объектов на которых производилось выполнение работ (оказание услуг), по договорам с </w:t>
      </w:r>
      <w:r>
        <w:rPr>
          <w:b/>
          <w:color w:val="0000FF"/>
          <w:sz w:val="26"/>
          <w:szCs w:val="26"/>
          <w:lang w:bidi="ru-RU"/>
        </w:rPr>
        <w:t>******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 xml:space="preserve">информация о конкретных исполнителях, (ФИО, должность, контактные данные) осуществлявших работы от имени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, предоставить списки физических лиц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, а также подрядных организаций (ФИО, должность, контактные данные), выполнявших работы (услуги) на всех объектах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ООО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 по вышеуказанным договорам (счетам-фактурам),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>предоставить информацию о конкретных физических лицах, которые подписывали документы по сделке (с указанием ФИО и контактных данных);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Информацию о въезде (выезде) автотранспортных средств (с указанием государственных регистрационных знаков на (с) территорию (территории)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), в том числе на складские помещения, объекты строительства и другие объекты,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гг.: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>Пропуски на въезд (выезд) автотранспортных средств на территорию всех объектов;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</w:t>
        <w:tab/>
        <w:t xml:space="preserve">В дополнении Инспекция сообщает, что </w:t>
      </w:r>
      <w:r>
        <w:rPr>
          <w:b/>
          <w:color w:val="0000FF"/>
          <w:sz w:val="26"/>
          <w:szCs w:val="26"/>
          <w:lang w:bidi="ru-RU"/>
        </w:rPr>
        <w:t>******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);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2.3</w:t>
        <w:tab/>
        <w:t xml:space="preserve">А также предоставить информацию в виде пояснительной записки по договору, заключенному между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и </w:t>
      </w:r>
      <w:r>
        <w:rPr>
          <w:b/>
          <w:color w:val="0000FF"/>
          <w:sz w:val="26"/>
          <w:szCs w:val="26"/>
          <w:lang w:bidi="ru-RU"/>
        </w:rPr>
        <w:t>******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гг.: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Предмет договорных взаимоотношений, условия поставки товара (услуг, выполненных работ), а также: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>условия оплаты по договору;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>обязанности сторон;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>сроки уплаты, порядок расчётов и график платежей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>при каких обстоятельствах и по какому адресу заключался договор;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 xml:space="preserve">наименование и количество поставляемого по договору товара (услуг, выполненных работ) в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гг.,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 xml:space="preserve">кто осуществлял перевозку товара (информация о транспортных средствах, на которых происходила транспортировка товара с указанием марки ТС, полного гос. номера, ФИО водителя); 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 xml:space="preserve">о виде и объеме ТМЦ поставленных в адрес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договору с </w:t>
      </w:r>
      <w:r>
        <w:rPr>
          <w:b/>
          <w:color w:val="0000FF"/>
          <w:sz w:val="26"/>
          <w:szCs w:val="26"/>
          <w:lang w:bidi="ru-RU"/>
        </w:rPr>
        <w:t>******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),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договору №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от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)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  <w:tab/>
        <w:t xml:space="preserve">где складируется товар (местонахождение складского помещения), сроки поставки, адреса поставки товара, в последствии отгруженного в адрес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);</w:t>
      </w:r>
    </w:p>
    <w:p>
      <w:pPr>
        <w:pStyle w:val="1"/>
        <w:shd w:val="clear" w:color="auto" w:fill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2.4</w:t>
        <w:tab/>
        <w:t xml:space="preserve">Информация в виде справки о транспортных средствах, на которых происходила транспортировка товара с указанием марки ТС, полного гос. номера, ФИО водителя и реквизитов юридического лица, осуществлявшего транспортировку, по договору, заключенному между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и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(ЯВЛЯЕТСЯ КОНТРАГЕНТОМ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ЗВЕНА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 ИНН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КПП 772201001), за период с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по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гг.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п. 4 ст. 93.1 и п. 4 ст. 31 НК РФ, а также приказом ФНС России от 17.02.2011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***«***» Межрайонной ИФНС России №6 по Республике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 о предоставлении документов (информации) № *** от ***.</w:t>
      </w:r>
    </w:p>
    <w:p>
      <w:pPr>
        <w:pStyle w:val="1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(п.п. 6, 12, 13 Порядка, ст. 19 Федерального закона от 06.04.2011 N 63-ФЗ «Об электронной подписи»).</w:t>
      </w:r>
    </w:p>
    <w:p>
      <w:pPr>
        <w:pStyle w:val="1"/>
        <w:shd w:val="clear" w:color="auto" w:fill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Указанное требование принято *** «***» по ТКС, о чём в налоговый орган поступила квитанция от *** о приёме, подписанная усиленной квалифицированной электронной подписью (электронной цифровой подписью) налогоплательщика.</w:t>
      </w:r>
    </w:p>
    <w:p>
      <w:pPr>
        <w:pStyle w:val="1"/>
        <w:ind w:firstLine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пунктом 5 статьи 93.1 Кодекса требование о предоставлении документов (информации) № *** от *** *** «***» следовало исполнить в десятидневный срок со дня его получения, т.е. не позднее***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В указанный срок налогоплательщик *** «***»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и информацию не представило, чем нарушило п. 5 ст. 93.1 Кодекса.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Согласно пункту 6 статьи 93.1 НК РФ неправомерное несообщение (несвоевременное сообщение) истребуемой информации признается налоговым правонарушением и влечет ответственность, предусмотренную статьей 129.1 настоящего Кодекса.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Согласно п. 1 ст. 129.1 НК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статьей 126 настоящего Кодекса, влечет взыскание штрафа в размере 5 000 рублей.</w:t>
      </w:r>
    </w:p>
    <w:p>
      <w:pPr>
        <w:pStyle w:val="1"/>
        <w:shd w:val="clear" w:color="auto" w:fill="auto"/>
        <w:ind w:firstLine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Временем совершения нарушения является 00 час. 01 мин. *** г. Местом совершения правонарушения является – *** «***», расположенное по адресу: Российская Федерация, ***.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Дворяшин В.И. </w:t>
      </w:r>
      <w:r>
        <w:rPr>
          <w:color w:val="000000"/>
          <w:sz w:val="26"/>
          <w:szCs w:val="26"/>
          <w:lang w:bidi="ru-RU"/>
        </w:rPr>
        <w:t xml:space="preserve">в судебное заседание не явился, о времени и месте его проведения извещен надлежащим образом, </w:t>
      </w:r>
      <w:r>
        <w:rPr>
          <w:sz w:val="26"/>
          <w:szCs w:val="26"/>
        </w:rPr>
        <w:t>причины неявки суду не сообщил.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указанных обстоятельствах, мировой судья полагает возможным рассмотреть дело в отсутствие Дворяшина В.И.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Дворяшин В.И., являясь конкурсным управляющим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</w:rPr>
        <w:t>», совершил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Дворяшина В.И. 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правонарушении, составленным в отношении конкурсного управляющего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Дворяшина В.И. 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уведомлением  о месте и времени составления прото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ола об административном правонарушении;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требованием о предоставлении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ументов (информации);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реестром документов;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том об обнаружении фа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тов, свидетельствующих о предусмотренных Налоговым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сом РФ налоговых правонарушениях (за ис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лючением налоговых правонарушений, дела о выявлении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оторых рассматриваются в порядке установленном статьей 101 Налогового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кс</w:t>
      </w:r>
      <w:r>
        <w:rPr>
          <w:rFonts w:ascii="Times New Roman" w:hAnsi="Times New Roman" w:cs="Times New Roman"/>
          <w:sz w:val="26"/>
          <w:szCs w:val="26"/>
        </w:rPr>
        <w:t xml:space="preserve">а РФ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15.6 ч.1,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–  </w:t>
      </w:r>
      <w:r>
        <w:rPr>
          <w:rFonts w:ascii="Times New Roman" w:hAnsi="Times New Roman"/>
          <w:b/>
          <w:color w:val="000000"/>
          <w:sz w:val="26"/>
          <w:szCs w:val="26"/>
          <w:lang w:bidi="ru-RU"/>
        </w:rPr>
        <w:t>******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» - </w:t>
      </w:r>
      <w:r>
        <w:rPr>
          <w:rFonts w:ascii="Times New Roman" w:hAnsi="Times New Roman"/>
          <w:b/>
          <w:sz w:val="26"/>
          <w:szCs w:val="26"/>
        </w:rPr>
        <w:t xml:space="preserve">Дворяшина </w:t>
      </w:r>
      <w:r>
        <w:rPr>
          <w:rFonts w:ascii="Times New Roman" w:hAnsi="Times New Roman"/>
          <w:b/>
          <w:sz w:val="26"/>
          <w:szCs w:val="26"/>
        </w:rPr>
        <w:t xml:space="preserve">Владимира Ивановича </w:t>
      </w:r>
      <w:r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20"/>
        <w:shd w:val="clear" w:color="auto" w:fill="auto"/>
        <w:spacing w:before="0" w:after="0" w:line="27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                                                                                        М.М. Апразов </w:t>
      </w:r>
    </w:p>
    <w:sectPr>
      <w:type w:val="nextPage"/>
      <w:pgSz w:w="11906" w:h="16838"/>
      <w:pgMar w:top="1134" w:right="850" w:bottom="1135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a2">
    <w:name w:val="Основной текст_"/>
    <w:basedOn w:val="DefaultParagraphFont"/>
    <w:link w:val="1"/>
    <w:qFormat/>
    <w:rsid w:val="00691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qFormat/>
    <w:rsid w:val="00691B38"/>
    <w:pPr>
      <w:widowControl w:val="0"/>
      <w:shd w:val="clear" w:color="auto" w:fill="FFFFFF"/>
      <w:spacing w:before="0"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91B38"/>
    <w:pPr>
      <w:spacing w:before="0" w:after="20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50754F-75AC-4A80-8FBF-55A44474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