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701F38">
        <w:rPr>
          <w:b/>
          <w:color w:val="0070C0"/>
        </w:rPr>
        <w:t>УИД</w:t>
      </w:r>
      <w:r w:rsidR="007D1225">
        <w:rPr>
          <w:b/>
          <w:color w:val="0070C0"/>
        </w:rPr>
        <w:t>:</w:t>
      </w:r>
      <w:r w:rsidRPr="00701F38">
        <w:rPr>
          <w:b/>
          <w:color w:val="0070C0"/>
        </w:rPr>
        <w:t xml:space="preserve"> </w:t>
      </w:r>
      <w:r w:rsidRPr="00015BEA" w:rsidR="00015BEA">
        <w:rPr>
          <w:b/>
          <w:color w:val="0070C0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05-38-</w:t>
      </w:r>
      <w:r w:rsidR="00971BD7">
        <w:rPr>
          <w:b/>
        </w:rPr>
        <w:t>2</w:t>
      </w:r>
      <w:r w:rsidR="003771A4">
        <w:rPr>
          <w:b/>
        </w:rPr>
        <w:t>76</w:t>
      </w:r>
      <w:r w:rsidRPr="005B6720" w:rsidR="00DB125D">
        <w:rPr>
          <w:b/>
        </w:rPr>
        <w:t>/2023</w:t>
      </w:r>
    </w:p>
    <w:p w:rsidR="006803DE" w:rsidRPr="005B6720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15 августа</w:t>
      </w:r>
      <w:r w:rsidR="007D1225">
        <w:rPr>
          <w:b/>
        </w:rPr>
        <w:t xml:space="preserve"> </w:t>
      </w:r>
      <w:r w:rsidRPr="005B6720" w:rsidR="00DB125D">
        <w:rPr>
          <w:b/>
        </w:rPr>
        <w:t>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7D1225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225" w:rsidP="007D1225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7D1225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225">
        <w:rPr>
          <w:rFonts w:ascii="Times New Roman" w:hAnsi="Times New Roman" w:cs="Times New Roman"/>
          <w:sz w:val="26"/>
          <w:szCs w:val="26"/>
        </w:rPr>
        <w:t>Смирнова</w:t>
      </w:r>
      <w:r>
        <w:rPr>
          <w:rFonts w:ascii="Times New Roman" w:hAnsi="Times New Roman" w:cs="Times New Roman"/>
          <w:sz w:val="26"/>
          <w:szCs w:val="26"/>
        </w:rPr>
        <w:t xml:space="preserve"> Д.Н.,</w:t>
      </w: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 w:rsidR="00892E1B">
        <w:rPr>
          <w:rFonts w:ascii="Times New Roman" w:hAnsi="Times New Roman" w:cs="Times New Roman"/>
          <w:sz w:val="26"/>
          <w:szCs w:val="26"/>
        </w:rPr>
        <w:t>в отношении: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rPr>
          <w:b/>
        </w:rPr>
        <w:t>Смирнова Дмитрия Николаевича</w:t>
      </w:r>
      <w:r w:rsidRPr="005B6720" w:rsidR="00313643">
        <w:t xml:space="preserve">, </w:t>
      </w:r>
      <w:r w:rsidRPr="00015BEA" w:rsidR="00015BEA">
        <w:rPr>
          <w:b/>
        </w:rPr>
        <w:t>***</w:t>
      </w:r>
      <w:r w:rsidR="00FE4EF3">
        <w:t xml:space="preserve">, 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ч. </w:t>
      </w:r>
      <w:r w:rsidRPr="005B6720" w:rsidR="007F7A28">
        <w:t>1</w:t>
      </w:r>
      <w:r w:rsidRPr="005B6720"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015BEA">
        <w:t>***</w:t>
      </w:r>
      <w:r w:rsidRPr="005B6720" w:rsidR="00DB50DB">
        <w:t xml:space="preserve"> </w:t>
      </w:r>
      <w:r w:rsidRPr="005B6720" w:rsidR="006A569F">
        <w:t xml:space="preserve">по </w:t>
      </w:r>
      <w:r w:rsidRPr="00015BEA">
        <w:rPr>
          <w:b/>
        </w:rPr>
        <w:t>***</w:t>
      </w:r>
      <w:r w:rsidRPr="005B6720" w:rsidR="00313643">
        <w:t xml:space="preserve">, водитель </w:t>
      </w:r>
      <w:r w:rsidR="003771A4">
        <w:t>Смирнов Д.Н</w:t>
      </w:r>
      <w:r w:rsidR="007D1225">
        <w:t>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 xml:space="preserve">– </w:t>
      </w:r>
      <w:r w:rsidRPr="005B6720" w:rsidR="00A366B4">
        <w:t xml:space="preserve">автомобилем марки </w:t>
      </w:r>
      <w:r w:rsidRPr="005B6720" w:rsidR="00404421">
        <w:t>«</w:t>
      </w:r>
      <w:r w:rsidRPr="00015BEA">
        <w:t>***</w:t>
      </w:r>
      <w:r w:rsidRPr="005B6720" w:rsidR="00404421">
        <w:t>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 w:rsidRPr="00015BEA">
        <w:t>***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5B6720">
        <w:t xml:space="preserve">запаха алкоголя изо рта,  </w:t>
      </w:r>
      <w:r w:rsidRPr="005B6720" w:rsidR="00B02175">
        <w:t>резко</w:t>
      </w:r>
      <w:r w:rsidRPr="005B6720" w:rsidR="00A72D34">
        <w:t>го</w:t>
      </w:r>
      <w:r w:rsidRPr="005B6720" w:rsidR="00B02175">
        <w:t xml:space="preserve"> изменени</w:t>
      </w:r>
      <w:r w:rsidRPr="005B6720" w:rsidR="00302224">
        <w:t>я</w:t>
      </w:r>
      <w:r w:rsidRPr="005B6720" w:rsidR="00B02175">
        <w:t xml:space="preserve"> окраски кожных покровов лица</w:t>
      </w:r>
      <w:r w:rsidRPr="005B6720" w:rsidR="00313643">
        <w:t>,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  <w:r w:rsidR="00CF5DF3">
        <w:t xml:space="preserve"> </w:t>
      </w:r>
      <w:r w:rsidRPr="00CF5DF3" w:rsidR="00CF5DF3">
        <w:t xml:space="preserve">Действия (бездействие) </w:t>
      </w:r>
      <w:r w:rsidR="00CF5DF3">
        <w:t>Смирнова Д.Н.</w:t>
      </w:r>
      <w:r w:rsidRPr="005B6720" w:rsidR="00CF5DF3">
        <w:t xml:space="preserve"> </w:t>
      </w:r>
      <w:r w:rsidRPr="00CF5DF3" w:rsidR="00CF5DF3">
        <w:t>не содерж</w:t>
      </w:r>
      <w:r w:rsidR="00CF5DF3">
        <w:t>ат уголовно наказуемого деяния.</w:t>
      </w:r>
    </w:p>
    <w:p w:rsidR="007D1225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ебном заседании </w:t>
      </w:r>
      <w:r w:rsidRPr="003771A4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Смирнов Д.Н.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признал, </w:t>
      </w:r>
      <w:r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пояснил, что сотрудники полиции ввели его в заблуждение</w:t>
      </w:r>
      <w:r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пояснив, что если он употреблял лекарственные препараты, содержащие в своем составе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определенные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вещества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то его поставят на учет у врача-нарколога. Сотрудники полиции ему не предлагали продуть прибор на месте остановки транспортного средства для прохождения освидетельствования на состояние алкогольного опьянения. </w:t>
      </w: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7F38BF" w:rsidR="007F3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Смирнов</w:t>
      </w:r>
      <w:r w:rsidR="007F3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F38BF" w:rsidR="007F3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Д.Н.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</w:t>
      </w:r>
      <w:r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Д.Н.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лишением права управления транспортными средствами на срок от полутора до двух лет.</w:t>
      </w:r>
    </w:p>
    <w:p w:rsidR="00132E8D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F38BF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2002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F38B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B6720" w:rsidR="00FF295D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7F38BF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8BF">
        <w:rPr>
          <w:rFonts w:ascii="Times New Roman" w:eastAsia="Times New Roman" w:hAnsi="Times New Roman" w:cs="Times New Roman"/>
          <w:sz w:val="26"/>
          <w:szCs w:val="26"/>
        </w:rPr>
        <w:t>НП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8BF">
        <w:rPr>
          <w:rFonts w:ascii="Times New Roman" w:eastAsia="Times New Roman" w:hAnsi="Times New Roman" w:cs="Times New Roman"/>
          <w:sz w:val="26"/>
          <w:szCs w:val="26"/>
        </w:rPr>
        <w:t>000578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</w:t>
      </w:r>
      <w:r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Д.Н.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5B6720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</w:t>
      </w:r>
      <w:r w:rsidR="00A83AB1">
        <w:rPr>
          <w:rFonts w:ascii="Times New Roman" w:eastAsia="Times New Roman" w:hAnsi="Times New Roman" w:cs="Times New Roman"/>
          <w:sz w:val="26"/>
          <w:szCs w:val="26"/>
        </w:rPr>
        <w:t>тояние алкогольного опьянения.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</w:t>
      </w:r>
      <w:r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Д.Н.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имеются подписи </w:t>
      </w:r>
      <w:r w:rsidRPr="007F38BF"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F38BF"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Д.Н.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запись о согласи с 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ротоколом</w:t>
      </w:r>
      <w:r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протоколом об отстранении от управления транспортным средством №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. водитель </w:t>
      </w:r>
      <w:r w:rsidR="00D52290">
        <w:rPr>
          <w:rFonts w:ascii="Times New Roman" w:eastAsia="Times New Roman" w:hAnsi="Times New Roman" w:cs="Times New Roman"/>
          <w:sz w:val="26"/>
          <w:szCs w:val="26"/>
        </w:rPr>
        <w:t>Смирнов</w:t>
      </w:r>
      <w:r w:rsidRPr="00D52290" w:rsidR="00D52290">
        <w:rPr>
          <w:rFonts w:ascii="Times New Roman" w:eastAsia="Times New Roman" w:hAnsi="Times New Roman" w:cs="Times New Roman"/>
          <w:sz w:val="26"/>
          <w:szCs w:val="26"/>
        </w:rPr>
        <w:t xml:space="preserve"> Д.Н. под видеозапись был отстранен от управления транспортным средством,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</w:t>
      </w:r>
      <w:r w:rsidR="00D522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CF5DF3" w:rsidR="00CF5DF3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</w:t>
      </w:r>
      <w:r w:rsidR="00CF5DF3">
        <w:rPr>
          <w:rFonts w:ascii="Times New Roman" w:eastAsia="Times New Roman" w:hAnsi="Times New Roman" w:cs="Times New Roman"/>
          <w:sz w:val="26"/>
          <w:szCs w:val="26"/>
        </w:rPr>
        <w:t>Смирнов</w:t>
      </w:r>
      <w:r w:rsidRPr="00D52290" w:rsidR="00CF5DF3"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 w:rsidRPr="00CF5DF3" w:rsidR="00CF5DF3">
        <w:rPr>
          <w:rFonts w:ascii="Times New Roman" w:eastAsia="Times New Roman" w:hAnsi="Times New Roman" w:cs="Times New Roman"/>
          <w:sz w:val="26"/>
          <w:szCs w:val="26"/>
        </w:rPr>
        <w:t xml:space="preserve"> отказался под видеозапись от прохождения освидетельствования на состояние алкогольного опьянения с применением технического средства</w:t>
      </w:r>
      <w:r w:rsidR="00CF5D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2E8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D5229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водитель </w:t>
      </w:r>
      <w:r w:rsidRP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 Д.Н.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от прохождения которого он под видеозапись отказался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015B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290">
        <w:rPr>
          <w:rFonts w:ascii="Times New Roman" w:eastAsia="Times New Roman" w:hAnsi="Times New Roman" w:cs="Times New Roman"/>
          <w:sz w:val="26"/>
          <w:szCs w:val="26"/>
        </w:rPr>
        <w:t>Основанием для направления на медицинское освидетельствование послужил  отказ от прохождения освидетельствования на состояние алкогольного опьянения;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Смирнов</w:t>
      </w:r>
      <w:r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F38B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Д.Н.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на состояние опьянения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а также факт отказа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от прохождения</w:t>
      </w:r>
      <w:r w:rsidRPr="00132E8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освидетельствования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>на состояние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алкогольного</w:t>
      </w:r>
      <w:r w:rsidRPr="005B6720" w:rsidR="00132E8D">
        <w:rPr>
          <w:rFonts w:ascii="Times New Roman" w:eastAsia="Times New Roman" w:hAnsi="Times New Roman" w:cs="Times New Roman"/>
          <w:sz w:val="26"/>
          <w:szCs w:val="26"/>
        </w:rPr>
        <w:t xml:space="preserve"> опьянения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</w:t>
      </w:r>
      <w:r w:rsidRPr="005B6720" w:rsidR="00BE3C89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62002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г.,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3A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015BEA" w:rsidR="00015BEA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водительским удостоверением;</w:t>
      </w:r>
    </w:p>
    <w:p w:rsidR="00EE155B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результатами поиска правонарушений и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92E1B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Смирнова Д.Н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 о том, что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сотрудники полиции ему не предлагали продуть прибор на месте остановки транспортного средства для прохождения освидетельствования на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остояние алкогольного опьянения,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судом отклоняются, как не соответствующие фактическим обстоятельствам дела, направленные на уклонение от административной ответственности и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опровергающиеся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материалами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дела, в том числе видеозаписью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92E1B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Смирнова Д.Н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о том, что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сотрудники полиции ввели его в заблуждение, пояснив, что если он употреблял лекарственные препараты, содержащие в своем составе определенные вещества, то его поставят на учет у врача-нарколога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судом отклоняются, как направленные на уклонение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Смирнова Д.Н.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административной ответственности и не влияющие на состав и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квалификацию 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правоанрушения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9C73A3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92E1B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Смирнов Д.Н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. 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2E1B" w:rsidRPr="00892E1B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Смирнова Д.Н</w:t>
      </w: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. к административной ответственности по ч. 1 ст. 12.26 КоАП РФ не истек.</w:t>
      </w:r>
    </w:p>
    <w:p w:rsidR="00892E1B" w:rsidRPr="005B6720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2E1B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Основания для прекращения производства по делу, либо для освобождения Смирнова Д.Н. от административной ответственности отсутствуют.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вижения, личность виновного,  </w:t>
      </w:r>
      <w:r w:rsidR="00F8161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отсутствие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892E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смягчающих и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F38BF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Смирнова Дмитрия Николаевича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="000F3AF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15BE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Pr="00015BE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</w:t>
      </w:r>
      <w:r w:rsidR="00892E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892E1B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Республике Крым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7D1225">
      <w:headerReference w:type="default" r:id="rId6"/>
      <w:pgSz w:w="11900" w:h="16840"/>
      <w:pgMar w:top="1134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189951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EA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5BEA"/>
    <w:rsid w:val="0001792F"/>
    <w:rsid w:val="00060C57"/>
    <w:rsid w:val="000629F5"/>
    <w:rsid w:val="00071682"/>
    <w:rsid w:val="000813C6"/>
    <w:rsid w:val="000861E3"/>
    <w:rsid w:val="000D00B3"/>
    <w:rsid w:val="000D4DD1"/>
    <w:rsid w:val="000E0DF3"/>
    <w:rsid w:val="000E1824"/>
    <w:rsid w:val="000E6034"/>
    <w:rsid w:val="000F07D4"/>
    <w:rsid w:val="000F3AF3"/>
    <w:rsid w:val="001015C5"/>
    <w:rsid w:val="00102295"/>
    <w:rsid w:val="00105DFE"/>
    <w:rsid w:val="00113412"/>
    <w:rsid w:val="001151FC"/>
    <w:rsid w:val="00116ACE"/>
    <w:rsid w:val="00123BEE"/>
    <w:rsid w:val="001302A3"/>
    <w:rsid w:val="00132E8D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771A4"/>
    <w:rsid w:val="00383482"/>
    <w:rsid w:val="003930DE"/>
    <w:rsid w:val="00393E10"/>
    <w:rsid w:val="00400447"/>
    <w:rsid w:val="00404191"/>
    <w:rsid w:val="00404421"/>
    <w:rsid w:val="00405947"/>
    <w:rsid w:val="00411DB9"/>
    <w:rsid w:val="00417661"/>
    <w:rsid w:val="00422BF4"/>
    <w:rsid w:val="00432D18"/>
    <w:rsid w:val="00433D6D"/>
    <w:rsid w:val="00433DE8"/>
    <w:rsid w:val="0044389A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6194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700030"/>
    <w:rsid w:val="00701F38"/>
    <w:rsid w:val="00711716"/>
    <w:rsid w:val="007207EE"/>
    <w:rsid w:val="00725B1C"/>
    <w:rsid w:val="0072689C"/>
    <w:rsid w:val="00736A2F"/>
    <w:rsid w:val="007520E9"/>
    <w:rsid w:val="00767D95"/>
    <w:rsid w:val="007A1F54"/>
    <w:rsid w:val="007B3FEE"/>
    <w:rsid w:val="007D1225"/>
    <w:rsid w:val="007E36D5"/>
    <w:rsid w:val="007E72B8"/>
    <w:rsid w:val="007F38BF"/>
    <w:rsid w:val="007F7A28"/>
    <w:rsid w:val="00812E43"/>
    <w:rsid w:val="00832B45"/>
    <w:rsid w:val="00837E07"/>
    <w:rsid w:val="00870E16"/>
    <w:rsid w:val="008857F1"/>
    <w:rsid w:val="00890FC0"/>
    <w:rsid w:val="00892E1B"/>
    <w:rsid w:val="00893BE9"/>
    <w:rsid w:val="008A0B58"/>
    <w:rsid w:val="008A426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71BD7"/>
    <w:rsid w:val="00980814"/>
    <w:rsid w:val="009A17BD"/>
    <w:rsid w:val="009B2839"/>
    <w:rsid w:val="009C73A3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CF5DF3"/>
    <w:rsid w:val="00D14E73"/>
    <w:rsid w:val="00D33C2A"/>
    <w:rsid w:val="00D52290"/>
    <w:rsid w:val="00D57170"/>
    <w:rsid w:val="00D60DEF"/>
    <w:rsid w:val="00D77E49"/>
    <w:rsid w:val="00D97EDC"/>
    <w:rsid w:val="00DA2725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927A8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D5389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AF77-9BB1-429D-9FF7-144A4436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