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E70" w:rsidRPr="00EF521D" w:rsidP="00AD0E70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F521D">
        <w:rPr>
          <w:rFonts w:ascii="Times New Roman" w:hAnsi="Times New Roman"/>
          <w:b/>
          <w:color w:val="000000" w:themeColor="text1"/>
          <w:sz w:val="28"/>
          <w:szCs w:val="28"/>
        </w:rPr>
        <w:t>Дело № 5-38-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285</w:t>
      </w:r>
      <w:r w:rsidRPr="00EF521D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</w:p>
    <w:p w:rsidR="00AD0E70" w:rsidRPr="00EF521D" w:rsidP="00AD0E70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1D">
        <w:rPr>
          <w:rFonts w:ascii="Times New Roman" w:hAnsi="Times New Roman"/>
          <w:b/>
          <w:sz w:val="28"/>
          <w:szCs w:val="28"/>
        </w:rPr>
        <w:t>ПОСТАНОВЛЕНИЕ</w:t>
      </w:r>
    </w:p>
    <w:p w:rsidR="00AD0E70" w:rsidRPr="00EF521D" w:rsidP="00AD0E70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августа</w:t>
      </w:r>
      <w:r w:rsidRPr="00EF521D">
        <w:rPr>
          <w:rFonts w:ascii="Times New Roman" w:hAnsi="Times New Roman"/>
          <w:sz w:val="28"/>
          <w:szCs w:val="28"/>
        </w:rPr>
        <w:t xml:space="preserve"> 2019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EF521D">
        <w:rPr>
          <w:rFonts w:ascii="Times New Roman" w:hAnsi="Times New Roman"/>
          <w:sz w:val="28"/>
          <w:szCs w:val="28"/>
        </w:rPr>
        <w:t>г. Евпатория, пр. Ленина, 51/50</w:t>
      </w:r>
    </w:p>
    <w:p w:rsidR="00AD0E70" w:rsidRPr="00EF521D" w:rsidP="00AD0E7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</w:t>
      </w:r>
      <w:r w:rsidRPr="00EF521D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D0E70" w:rsidRPr="00EF521D" w:rsidP="00AD0E7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Новакова</w:t>
      </w:r>
      <w:r>
        <w:rPr>
          <w:rFonts w:ascii="Times New Roman" w:hAnsi="Times New Roman"/>
          <w:b/>
          <w:sz w:val="28"/>
          <w:szCs w:val="28"/>
        </w:rPr>
        <w:t xml:space="preserve"> Владислава Андреевича</w:t>
      </w:r>
      <w:r w:rsidRPr="00EF521D">
        <w:rPr>
          <w:rFonts w:ascii="Times New Roman" w:hAnsi="Times New Roman"/>
          <w:sz w:val="28"/>
          <w:szCs w:val="28"/>
        </w:rPr>
        <w:t xml:space="preserve">, </w:t>
      </w:r>
      <w:r w:rsidR="00171C22">
        <w:rPr>
          <w:rFonts w:ascii="Times New Roman" w:hAnsi="Times New Roman"/>
          <w:sz w:val="28"/>
          <w:szCs w:val="28"/>
        </w:rPr>
        <w:t>личные данные</w:t>
      </w:r>
    </w:p>
    <w:p w:rsidR="00AD0E70" w:rsidRPr="00EF521D" w:rsidP="00AD0E7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AD0E70" w:rsidRPr="00EF521D" w:rsidP="00AD0E70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1D">
        <w:rPr>
          <w:rFonts w:ascii="Times New Roman" w:hAnsi="Times New Roman"/>
          <w:b/>
          <w:sz w:val="28"/>
          <w:szCs w:val="28"/>
        </w:rPr>
        <w:t>УСТАНОВИЛ:</w:t>
      </w:r>
    </w:p>
    <w:p w:rsidR="00AD0E70" w:rsidRPr="00EF521D" w:rsidP="00AD0E7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Новаков</w:t>
      </w:r>
      <w:r>
        <w:rPr>
          <w:rFonts w:ascii="Times New Roman" w:hAnsi="Times New Roman"/>
          <w:sz w:val="28"/>
          <w:szCs w:val="28"/>
        </w:rPr>
        <w:t xml:space="preserve"> В.А.</w:t>
      </w:r>
      <w:r w:rsidRPr="00EF521D">
        <w:rPr>
          <w:rFonts w:ascii="Times New Roman" w:hAnsi="Times New Roman"/>
          <w:sz w:val="28"/>
          <w:szCs w:val="28"/>
        </w:rPr>
        <w:t xml:space="preserve"> являясь </w:t>
      </w:r>
      <w:r w:rsidR="00171C22">
        <w:rPr>
          <w:rFonts w:ascii="Times New Roman" w:hAnsi="Times New Roman"/>
          <w:sz w:val="28"/>
          <w:szCs w:val="28"/>
        </w:rPr>
        <w:t>***</w:t>
      </w:r>
      <w:r w:rsidRPr="00EF521D">
        <w:rPr>
          <w:rFonts w:ascii="Times New Roman" w:hAnsi="Times New Roman"/>
          <w:sz w:val="28"/>
          <w:szCs w:val="28"/>
        </w:rPr>
        <w:t xml:space="preserve"> зарегистрированного  по адресу: </w:t>
      </w:r>
      <w:r w:rsidR="00171C22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, не предоставил в установленный срок,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171C22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страховом стаже застрахованного лица </w:t>
      </w:r>
      <w:r w:rsidR="00171C22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(форма СЗВ-СТАЖ) за </w:t>
      </w:r>
      <w:r w:rsidR="00171C22">
        <w:rPr>
          <w:rFonts w:ascii="Times New Roman" w:hAnsi="Times New Roman"/>
          <w:sz w:val="28"/>
          <w:szCs w:val="28"/>
        </w:rPr>
        <w:t>**</w:t>
      </w:r>
      <w:r w:rsidR="00171C22">
        <w:rPr>
          <w:rFonts w:ascii="Times New Roman" w:hAnsi="Times New Roman"/>
          <w:sz w:val="28"/>
          <w:szCs w:val="28"/>
        </w:rPr>
        <w:t xml:space="preserve"> </w:t>
      </w:r>
      <w:r w:rsidRPr="00EF521D">
        <w:rPr>
          <w:rFonts w:ascii="Times New Roman" w:hAnsi="Times New Roman"/>
          <w:sz w:val="28"/>
          <w:szCs w:val="28"/>
        </w:rPr>
        <w:t>.</w:t>
      </w:r>
    </w:p>
    <w:p w:rsidR="00AD0E70" w:rsidP="00AD0E7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171C22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Местом совершения правонарушения - </w:t>
      </w:r>
      <w:r w:rsidR="00171C22">
        <w:rPr>
          <w:rFonts w:ascii="Times New Roman" w:hAnsi="Times New Roman"/>
          <w:sz w:val="28"/>
          <w:szCs w:val="28"/>
        </w:rPr>
        <w:t>**</w:t>
      </w:r>
    </w:p>
    <w:p w:rsidR="00AD0E70" w:rsidRPr="006A1B3F" w:rsidP="006A1B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1B3F">
        <w:rPr>
          <w:rFonts w:ascii="Times New Roman" w:hAnsi="Times New Roman"/>
          <w:sz w:val="28"/>
          <w:szCs w:val="28"/>
        </w:rPr>
        <w:t>Новаков</w:t>
      </w:r>
      <w:r w:rsidRPr="006A1B3F">
        <w:rPr>
          <w:rFonts w:ascii="Times New Roman" w:hAnsi="Times New Roman"/>
          <w:sz w:val="28"/>
          <w:szCs w:val="28"/>
        </w:rPr>
        <w:t xml:space="preserve"> В.А. в суде вину в совершении вменного ему правонарушения не признал, </w:t>
      </w:r>
      <w:r w:rsidRPr="006A1B3F">
        <w:rPr>
          <w:rFonts w:ascii="Times New Roman" w:hAnsi="Times New Roman"/>
          <w:sz w:val="28"/>
          <w:szCs w:val="28"/>
        </w:rPr>
        <w:t>указав</w:t>
      </w:r>
      <w:r w:rsidRPr="006A1B3F">
        <w:rPr>
          <w:rFonts w:ascii="Times New Roman" w:hAnsi="Times New Roman"/>
          <w:sz w:val="28"/>
          <w:szCs w:val="28"/>
        </w:rPr>
        <w:t xml:space="preserve"> что на протяжении двух лет он уволен с должности генерального </w:t>
      </w:r>
      <w:r w:rsidR="00171C22">
        <w:rPr>
          <w:rFonts w:ascii="Times New Roman" w:hAnsi="Times New Roman"/>
          <w:sz w:val="28"/>
          <w:szCs w:val="28"/>
        </w:rPr>
        <w:t>**</w:t>
      </w:r>
      <w:r w:rsidRPr="006A1B3F">
        <w:rPr>
          <w:rFonts w:ascii="Times New Roman" w:hAnsi="Times New Roman"/>
          <w:sz w:val="28"/>
          <w:szCs w:val="28"/>
        </w:rPr>
        <w:t xml:space="preserve"> однако  указанные сведения в ЕГРЮЛ не внесены по причине отсутствия учредителя  юридического лица на территории Российской Федерации. При этом об увольнении он уведомлял налоговую службу и пенсионный фонд. </w:t>
      </w:r>
      <w:r>
        <w:rPr>
          <w:rFonts w:ascii="Times New Roman" w:hAnsi="Times New Roman"/>
          <w:sz w:val="28"/>
          <w:szCs w:val="28"/>
        </w:rPr>
        <w:t xml:space="preserve"> В ходе судебного разбирательства </w:t>
      </w:r>
      <w:r w:rsidR="00171C22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Новаков</w:t>
      </w:r>
      <w:r>
        <w:rPr>
          <w:rFonts w:ascii="Times New Roman" w:hAnsi="Times New Roman"/>
          <w:sz w:val="28"/>
          <w:szCs w:val="28"/>
        </w:rPr>
        <w:t xml:space="preserve"> В.А. добавил,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несмотря на увольнение в </w:t>
      </w:r>
      <w:r w:rsidR="00171C22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., на протяжении последних двух лет, всю необходимую отчетность по предприятию </w:t>
      </w:r>
      <w:r w:rsidR="00171C22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в пенсионный фонд и налоговую инспекцию предоставляет непосредственно он, в том числе предоставляет в ПФУ ежемесячный отчет в отношении себя, как сотрудника </w:t>
      </w:r>
      <w:r w:rsidR="00171C22">
        <w:rPr>
          <w:rFonts w:ascii="Times New Roman" w:hAnsi="Times New Roman"/>
          <w:sz w:val="28"/>
          <w:szCs w:val="28"/>
        </w:rPr>
        <w:t>**</w:t>
      </w:r>
    </w:p>
    <w:p w:rsidR="00AD0E70" w:rsidRPr="00EF521D" w:rsidP="006A1B3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Новакова</w:t>
      </w:r>
      <w:r>
        <w:rPr>
          <w:rFonts w:ascii="Times New Roman" w:hAnsi="Times New Roman"/>
          <w:sz w:val="28"/>
          <w:szCs w:val="28"/>
        </w:rPr>
        <w:t xml:space="preserve"> В.А., допросив  руководителя юридической группы УПФР в г. Евпатории </w:t>
      </w:r>
      <w:r w:rsidR="00171C22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F521D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8"/>
          <w:szCs w:val="28"/>
        </w:rPr>
        <w:t>Новаков</w:t>
      </w:r>
      <w:r>
        <w:rPr>
          <w:rFonts w:ascii="Times New Roman" w:hAnsi="Times New Roman"/>
          <w:sz w:val="28"/>
          <w:szCs w:val="28"/>
        </w:rPr>
        <w:t xml:space="preserve"> В.А.</w:t>
      </w:r>
      <w:r w:rsidRPr="00EF521D">
        <w:rPr>
          <w:rFonts w:ascii="Times New Roman" w:hAnsi="Times New Roman"/>
          <w:sz w:val="28"/>
          <w:szCs w:val="28"/>
        </w:rPr>
        <w:t xml:space="preserve">, как </w:t>
      </w:r>
      <w:r w:rsidR="00171C22">
        <w:rPr>
          <w:rFonts w:ascii="Times New Roman" w:hAnsi="Times New Roman"/>
          <w:sz w:val="28"/>
          <w:szCs w:val="28"/>
        </w:rPr>
        <w:t>**</w:t>
      </w:r>
      <w:r w:rsidRPr="006A1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совершил</w:t>
      </w:r>
      <w:r w:rsidRPr="00EF521D">
        <w:rPr>
          <w:rFonts w:ascii="Times New Roman" w:hAnsi="Times New Roman"/>
          <w:sz w:val="28"/>
          <w:szCs w:val="28"/>
        </w:rPr>
        <w:t xml:space="preserve">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2.3 части 2, ч.3 статьи 11 ФЗ «Об индивидуальном (персонифицированном) учете в системе обязательного пенсионного страхования» № 27-ФЗ</w:t>
      </w:r>
      <w:r w:rsidRPr="00EF521D">
        <w:rPr>
          <w:rFonts w:ascii="Times New Roman" w:hAnsi="Times New Roman"/>
          <w:sz w:val="28"/>
          <w:szCs w:val="28"/>
        </w:rPr>
        <w:t xml:space="preserve"> от 11.04.1996г. сведений о страховом стаже застрахованного лица  </w:t>
      </w:r>
      <w:r w:rsidR="00171C2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21D">
        <w:rPr>
          <w:rFonts w:ascii="Times New Roman" w:hAnsi="Times New Roman"/>
          <w:sz w:val="28"/>
          <w:szCs w:val="28"/>
        </w:rPr>
        <w:t xml:space="preserve">(форма СЗВ-СТАЖ) </w:t>
      </w:r>
      <w:r w:rsidRPr="00EF521D">
        <w:rPr>
          <w:rFonts w:ascii="Times New Roman" w:hAnsi="Times New Roman"/>
          <w:sz w:val="28"/>
          <w:szCs w:val="28"/>
        </w:rPr>
        <w:t>за</w:t>
      </w:r>
      <w:r w:rsidRPr="00EF521D">
        <w:rPr>
          <w:rFonts w:ascii="Times New Roman" w:hAnsi="Times New Roman"/>
          <w:sz w:val="28"/>
          <w:szCs w:val="28"/>
        </w:rPr>
        <w:t xml:space="preserve"> </w:t>
      </w:r>
      <w:r w:rsidR="00171C22">
        <w:rPr>
          <w:rFonts w:ascii="Times New Roman" w:hAnsi="Times New Roman"/>
          <w:sz w:val="28"/>
          <w:szCs w:val="28"/>
        </w:rPr>
        <w:t>**</w:t>
      </w:r>
    </w:p>
    <w:p w:rsidR="00AD0E70" w:rsidP="00AD0E7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Вина </w:t>
      </w:r>
      <w:r w:rsidR="006A1B3F">
        <w:rPr>
          <w:rFonts w:ascii="Times New Roman" w:hAnsi="Times New Roman"/>
          <w:sz w:val="28"/>
          <w:szCs w:val="28"/>
        </w:rPr>
        <w:t>Новакова</w:t>
      </w:r>
      <w:r w:rsidR="006A1B3F">
        <w:rPr>
          <w:rFonts w:ascii="Times New Roman" w:hAnsi="Times New Roman"/>
          <w:sz w:val="28"/>
          <w:szCs w:val="28"/>
        </w:rPr>
        <w:t xml:space="preserve"> В.А.</w:t>
      </w:r>
      <w:r w:rsidRPr="00EF521D">
        <w:rPr>
          <w:rFonts w:ascii="Times New Roman" w:hAnsi="Times New Roman"/>
          <w:sz w:val="28"/>
          <w:szCs w:val="28"/>
        </w:rPr>
        <w:t xml:space="preserve"> в совершении правонарушения подтверждается: сведениями протокола об админ</w:t>
      </w:r>
      <w:r w:rsidR="006A1B3F">
        <w:rPr>
          <w:rFonts w:ascii="Times New Roman" w:hAnsi="Times New Roman"/>
          <w:sz w:val="28"/>
          <w:szCs w:val="28"/>
        </w:rPr>
        <w:t xml:space="preserve">истративном правонарушении </w:t>
      </w:r>
      <w:r w:rsidR="006A1B3F">
        <w:rPr>
          <w:rFonts w:ascii="Times New Roman" w:hAnsi="Times New Roman"/>
          <w:sz w:val="28"/>
          <w:szCs w:val="28"/>
        </w:rPr>
        <w:t>от</w:t>
      </w:r>
      <w:r w:rsidR="006A1B3F">
        <w:rPr>
          <w:rFonts w:ascii="Times New Roman" w:hAnsi="Times New Roman"/>
          <w:sz w:val="28"/>
          <w:szCs w:val="28"/>
        </w:rPr>
        <w:t xml:space="preserve"> </w:t>
      </w:r>
      <w:r w:rsidR="00171C22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</w:t>
      </w:r>
      <w:r w:rsidRPr="00EF521D">
        <w:rPr>
          <w:rFonts w:ascii="Times New Roman" w:hAnsi="Times New Roman"/>
          <w:sz w:val="28"/>
          <w:szCs w:val="28"/>
        </w:rPr>
        <w:t>выпиской</w:t>
      </w:r>
      <w:r w:rsidRPr="00EF521D">
        <w:rPr>
          <w:rFonts w:ascii="Times New Roman" w:hAnsi="Times New Roman"/>
          <w:sz w:val="28"/>
          <w:szCs w:val="28"/>
        </w:rPr>
        <w:t xml:space="preserve"> из Единого государственного реестра, уведомлением о регистрации </w:t>
      </w:r>
      <w:r w:rsidR="00171C22">
        <w:rPr>
          <w:rFonts w:ascii="Times New Roman" w:hAnsi="Times New Roman"/>
          <w:sz w:val="28"/>
          <w:szCs w:val="28"/>
        </w:rPr>
        <w:t>*</w:t>
      </w:r>
      <w:r w:rsidR="006A1B3F">
        <w:rPr>
          <w:rFonts w:ascii="Times New Roman" w:hAnsi="Times New Roman"/>
          <w:sz w:val="28"/>
          <w:szCs w:val="28"/>
        </w:rPr>
        <w:t xml:space="preserve"> </w:t>
      </w:r>
      <w:r w:rsidRPr="00EF521D">
        <w:rPr>
          <w:rFonts w:ascii="Times New Roman" w:hAnsi="Times New Roman"/>
          <w:sz w:val="28"/>
          <w:szCs w:val="28"/>
        </w:rPr>
        <w:t xml:space="preserve">в территориальном органе ПФ РФ, </w:t>
      </w:r>
      <w:r w:rsidR="005C63C1">
        <w:rPr>
          <w:rFonts w:ascii="Times New Roman" w:hAnsi="Times New Roman"/>
          <w:sz w:val="28"/>
          <w:szCs w:val="28"/>
        </w:rPr>
        <w:t>реестром ЗЛ.</w:t>
      </w:r>
    </w:p>
    <w:p w:rsidR="005C63C1" w:rsidP="00AD0E7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вина </w:t>
      </w:r>
      <w:r>
        <w:rPr>
          <w:rFonts w:ascii="Times New Roman" w:hAnsi="Times New Roman"/>
          <w:sz w:val="28"/>
          <w:szCs w:val="28"/>
        </w:rPr>
        <w:t>Новакова</w:t>
      </w:r>
      <w:r>
        <w:rPr>
          <w:rFonts w:ascii="Times New Roman" w:hAnsi="Times New Roman"/>
          <w:sz w:val="28"/>
          <w:szCs w:val="28"/>
        </w:rPr>
        <w:t xml:space="preserve"> В.А. в совершении вменного ему правонарушения подтверждается пояснениями самого </w:t>
      </w:r>
      <w:r>
        <w:rPr>
          <w:rFonts w:ascii="Times New Roman" w:hAnsi="Times New Roman"/>
          <w:sz w:val="28"/>
          <w:szCs w:val="28"/>
        </w:rPr>
        <w:t>Новакова</w:t>
      </w:r>
      <w:r>
        <w:rPr>
          <w:rFonts w:ascii="Times New Roman" w:hAnsi="Times New Roman"/>
          <w:sz w:val="28"/>
          <w:szCs w:val="28"/>
        </w:rPr>
        <w:t xml:space="preserve"> В.А., данными им в суде, который пояснил, что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171C22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настоящее время всю отчетность по </w:t>
      </w:r>
      <w:r w:rsidR="00171C22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в УПФР представляет непосредственно он, в том числе в отношении себя как сотрудника указанного юридического лица.</w:t>
      </w:r>
    </w:p>
    <w:p w:rsidR="005C63C1" w:rsidP="00AD0E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юридической группы УПФР в г. Евпатории </w:t>
      </w:r>
      <w:r w:rsidR="00171C22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в суде пояснила, что протокол в отношении </w:t>
      </w:r>
      <w:r>
        <w:rPr>
          <w:rFonts w:ascii="Times New Roman" w:hAnsi="Times New Roman"/>
          <w:sz w:val="28"/>
          <w:szCs w:val="28"/>
        </w:rPr>
        <w:t>Новакова</w:t>
      </w:r>
      <w:r>
        <w:rPr>
          <w:rFonts w:ascii="Times New Roman" w:hAnsi="Times New Roman"/>
          <w:sz w:val="28"/>
          <w:szCs w:val="28"/>
        </w:rPr>
        <w:t xml:space="preserve"> В.А. был составлен ввиду отсутствия в УПФР сведений о прекращении трудовых правоотношений  </w:t>
      </w:r>
      <w:r>
        <w:rPr>
          <w:rFonts w:ascii="Times New Roman" w:hAnsi="Times New Roman"/>
          <w:sz w:val="28"/>
          <w:szCs w:val="28"/>
        </w:rPr>
        <w:t>Новакова</w:t>
      </w:r>
      <w:r>
        <w:rPr>
          <w:rFonts w:ascii="Times New Roman" w:hAnsi="Times New Roman"/>
          <w:sz w:val="28"/>
          <w:szCs w:val="28"/>
        </w:rPr>
        <w:t xml:space="preserve"> В.А. с </w:t>
      </w:r>
      <w:r w:rsidR="00171C2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Вместе с тем, не смотря на наличие у </w:t>
      </w:r>
      <w:r>
        <w:rPr>
          <w:rFonts w:ascii="Times New Roman" w:hAnsi="Times New Roman"/>
          <w:sz w:val="28"/>
          <w:szCs w:val="28"/>
        </w:rPr>
        <w:t>Новакова</w:t>
      </w:r>
      <w:r>
        <w:rPr>
          <w:rFonts w:ascii="Times New Roman" w:hAnsi="Times New Roman"/>
          <w:sz w:val="28"/>
          <w:szCs w:val="28"/>
        </w:rPr>
        <w:t xml:space="preserve"> В.А. в трудовой книжке сведений об </w:t>
      </w:r>
      <w:r>
        <w:rPr>
          <w:rFonts w:ascii="Times New Roman" w:hAnsi="Times New Roman"/>
          <w:sz w:val="28"/>
          <w:szCs w:val="28"/>
        </w:rPr>
        <w:t xml:space="preserve">увольнении последнего с указанного предприятия, </w:t>
      </w:r>
      <w:r>
        <w:rPr>
          <w:rFonts w:ascii="Times New Roman" w:hAnsi="Times New Roman"/>
          <w:sz w:val="28"/>
          <w:szCs w:val="28"/>
        </w:rPr>
        <w:t>полагает</w:t>
      </w:r>
      <w:r>
        <w:rPr>
          <w:rFonts w:ascii="Times New Roman" w:hAnsi="Times New Roman"/>
          <w:sz w:val="28"/>
          <w:szCs w:val="28"/>
        </w:rPr>
        <w:t xml:space="preserve"> что именно </w:t>
      </w:r>
      <w:r>
        <w:rPr>
          <w:rFonts w:ascii="Times New Roman" w:hAnsi="Times New Roman"/>
          <w:sz w:val="28"/>
          <w:szCs w:val="28"/>
        </w:rPr>
        <w:t>Новаков</w:t>
      </w:r>
      <w:r>
        <w:rPr>
          <w:rFonts w:ascii="Times New Roman" w:hAnsi="Times New Roman"/>
          <w:sz w:val="28"/>
          <w:szCs w:val="28"/>
        </w:rPr>
        <w:t xml:space="preserve"> В.А. является субъектом правонарушения ввиду того, что  указанные сведения согласуются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сведениями ЕГРЮЛ, а также того обстоятельства, что в УПФР в г. Евпатории </w:t>
      </w:r>
      <w:r w:rsidR="001A3E09">
        <w:rPr>
          <w:rFonts w:ascii="Times New Roman" w:hAnsi="Times New Roman"/>
          <w:sz w:val="28"/>
          <w:szCs w:val="28"/>
        </w:rPr>
        <w:t xml:space="preserve">самим </w:t>
      </w:r>
      <w:r>
        <w:rPr>
          <w:rFonts w:ascii="Times New Roman" w:hAnsi="Times New Roman"/>
          <w:sz w:val="28"/>
          <w:szCs w:val="28"/>
        </w:rPr>
        <w:t>Новаковым</w:t>
      </w:r>
      <w:r>
        <w:rPr>
          <w:rFonts w:ascii="Times New Roman" w:hAnsi="Times New Roman"/>
          <w:sz w:val="28"/>
          <w:szCs w:val="28"/>
        </w:rPr>
        <w:t xml:space="preserve"> В.А. предоставляются сведения о своем страховом стаже как сотрудни</w:t>
      </w:r>
      <w:r w:rsidR="001A3E09">
        <w:rPr>
          <w:rFonts w:ascii="Times New Roman" w:hAnsi="Times New Roman"/>
          <w:sz w:val="28"/>
          <w:szCs w:val="28"/>
        </w:rPr>
        <w:t xml:space="preserve">ка указанного юридического лица, что влечет последствия  в виде исчисления страхового стажа </w:t>
      </w:r>
      <w:r w:rsidR="00171C22">
        <w:rPr>
          <w:rFonts w:ascii="Times New Roman" w:hAnsi="Times New Roman"/>
          <w:sz w:val="28"/>
          <w:szCs w:val="28"/>
        </w:rPr>
        <w:t>**</w:t>
      </w:r>
    </w:p>
    <w:p w:rsidR="00AD0E70" w:rsidRPr="00EF521D" w:rsidP="00AD0E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333333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Согласно ч.2 ст. 11 ФЗ «Об индивидуальном (персонифицированном) учете в системе обязательного пенсионного страхования» № 27-ФЗ от 11.04.1996г. </w:t>
      </w:r>
      <w:r w:rsidRPr="00EF521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EF521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 законодательством Российской Федерации о налогах и сборах начисляются страховые взносы) следующие </w:t>
      </w:r>
      <w:r w:rsidRPr="00EF521D">
        <w:rPr>
          <w:rFonts w:ascii="Times New Roman" w:hAnsi="Times New Roman"/>
          <w:sz w:val="28"/>
          <w:szCs w:val="28"/>
        </w:rPr>
        <w:t>сведения</w:t>
      </w:r>
      <w:r w:rsidRPr="00EF521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</w:t>
      </w:r>
      <w:r w:rsidRPr="00EF521D">
        <w:rPr>
          <w:rFonts w:ascii="Times New Roman" w:hAnsi="Times New Roman"/>
          <w:sz w:val="28"/>
          <w:szCs w:val="28"/>
        </w:rPr>
        <w:t xml:space="preserve"> следующие </w:t>
      </w:r>
      <w:hyperlink r:id="rId4" w:tooltip=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w:history="1">
        <w:r w:rsidRPr="00EF521D">
          <w:rPr>
            <w:rStyle w:val="Hyperlink"/>
            <w:rFonts w:ascii="Times New Roman" w:hAnsi="Times New Roman"/>
            <w:sz w:val="28"/>
            <w:szCs w:val="28"/>
          </w:rPr>
          <w:t>сведения</w:t>
        </w:r>
      </w:hyperlink>
      <w:r w:rsidRPr="00EF521D">
        <w:rPr>
          <w:rFonts w:ascii="Times New Roman" w:hAnsi="Times New Roman"/>
          <w:sz w:val="28"/>
          <w:szCs w:val="28"/>
        </w:rPr>
        <w:t>:</w:t>
      </w:r>
      <w:r w:rsidRPr="00EF521D">
        <w:rPr>
          <w:rStyle w:val="Hyperlink"/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1) страховой номер индивидуального лицевого счета;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2) фамилию, имя и отчество;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 xml:space="preserve">6) - 7) утратили силу с 1 января 2017 года. -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Федеральный </w:t>
      </w:r>
      <w:hyperlink r:id="rId5" w:anchor="dst100049" w:history="1">
        <w:r w:rsidRPr="00EF521D">
          <w:rPr>
            <w:rStyle w:val="Hyperlink"/>
            <w:rFonts w:ascii="Times New Roman" w:hAnsi="Times New Roman"/>
            <w:color w:val="666699"/>
            <w:sz w:val="28"/>
            <w:szCs w:val="28"/>
          </w:rPr>
          <w:t>закон</w:t>
        </w:r>
      </w:hyperlink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 от 03.07.2016 N 250-ФЗ;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6" w:anchor="dst100153" w:history="1">
        <w:r w:rsidRPr="00EF521D">
          <w:rPr>
            <w:rStyle w:val="Hyperlink"/>
            <w:rFonts w:ascii="Times New Roman" w:hAnsi="Times New Roman"/>
            <w:color w:val="666699"/>
            <w:sz w:val="28"/>
            <w:szCs w:val="28"/>
          </w:rPr>
          <w:t>8)</w:t>
        </w:r>
      </w:hyperlink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 другие сведения, необходимые для правильного назначения страховой пенсии и накопительной пенсии;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AD0E70" w:rsidRPr="00EF521D" w:rsidP="00AD0E70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521D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EF5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F5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EF5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EF5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AD0E70" w:rsidRPr="00EF521D" w:rsidP="00AD0E70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 w:rsidR="005C63C1">
        <w:rPr>
          <w:rFonts w:ascii="Times New Roman" w:hAnsi="Times New Roman"/>
          <w:sz w:val="28"/>
          <w:szCs w:val="28"/>
        </w:rPr>
        <w:t>Новакова</w:t>
      </w:r>
      <w:r w:rsidR="005C63C1">
        <w:rPr>
          <w:rFonts w:ascii="Times New Roman" w:hAnsi="Times New Roman"/>
          <w:sz w:val="28"/>
          <w:szCs w:val="28"/>
        </w:rPr>
        <w:t xml:space="preserve"> В.А.</w:t>
      </w:r>
      <w:r w:rsidRPr="00EF521D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D0E70" w:rsidRPr="00EF521D" w:rsidP="00AD0E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считает необходимым назначить </w:t>
      </w:r>
      <w:r w:rsidR="001A3E09">
        <w:rPr>
          <w:rFonts w:ascii="Times New Roman" w:hAnsi="Times New Roman"/>
          <w:sz w:val="28"/>
          <w:szCs w:val="28"/>
        </w:rPr>
        <w:t>Новакову</w:t>
      </w:r>
      <w:r w:rsidR="001A3E09">
        <w:rPr>
          <w:rFonts w:ascii="Times New Roman" w:hAnsi="Times New Roman"/>
          <w:sz w:val="28"/>
          <w:szCs w:val="28"/>
        </w:rPr>
        <w:t xml:space="preserve"> В.А.</w:t>
      </w:r>
      <w:r w:rsidRPr="00EF521D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AD0E70" w:rsidRPr="00EF521D" w:rsidP="00AD0E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EF521D">
          <w:rPr>
            <w:rFonts w:ascii="Times New Roman" w:hAnsi="Times New Roman"/>
            <w:color w:val="000000" w:themeColor="text1"/>
            <w:sz w:val="28"/>
            <w:szCs w:val="28"/>
          </w:rPr>
          <w:t>раздела II</w:t>
        </w:r>
      </w:hyperlink>
      <w:r w:rsidRPr="00EF521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 или закона</w:t>
      </w:r>
      <w:r w:rsidRPr="00EF521D">
        <w:rPr>
          <w:rFonts w:ascii="Times New Roman" w:hAnsi="Times New Roman"/>
          <w:color w:val="000000" w:themeColor="text1"/>
          <w:sz w:val="28"/>
          <w:szCs w:val="2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EF521D">
          <w:rPr>
            <w:rFonts w:ascii="Times New Roman" w:hAnsi="Times New Roman"/>
            <w:color w:val="000000" w:themeColor="text1"/>
            <w:sz w:val="28"/>
            <w:szCs w:val="28"/>
          </w:rPr>
          <w:t>частью 2 статьи 3.4</w:t>
        </w:r>
      </w:hyperlink>
      <w:r w:rsidRPr="00EF521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за исключением случаев, предусмотренных </w:t>
      </w:r>
      <w:hyperlink r:id="rId9" w:history="1">
        <w:r w:rsidRPr="00EF521D">
          <w:rPr>
            <w:rFonts w:ascii="Times New Roman" w:hAnsi="Times New Roman"/>
            <w:color w:val="000000" w:themeColor="text1"/>
            <w:sz w:val="28"/>
            <w:szCs w:val="28"/>
          </w:rPr>
          <w:t>частью 2</w:t>
        </w:r>
      </w:hyperlink>
      <w:r w:rsidRPr="00EF521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настоящей статьи.</w:t>
      </w:r>
    </w:p>
    <w:p w:rsidR="00AD0E70" w:rsidRPr="00EF521D" w:rsidP="00AD0E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D0E70" w:rsidRPr="00EF521D" w:rsidP="00AD0E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которого </w:t>
      </w:r>
      <w:r w:rsidRPr="00EF521D">
        <w:rPr>
          <w:rFonts w:ascii="Times New Roman" w:hAnsi="Times New Roman"/>
          <w:sz w:val="28"/>
          <w:szCs w:val="28"/>
        </w:rPr>
        <w:t xml:space="preserve">является </w:t>
      </w:r>
      <w:r w:rsidR="005C63C1">
        <w:rPr>
          <w:rFonts w:ascii="Times New Roman" w:hAnsi="Times New Roman"/>
          <w:sz w:val="28"/>
          <w:szCs w:val="28"/>
        </w:rPr>
        <w:t>Новаков</w:t>
      </w:r>
      <w:r w:rsidR="005C63C1">
        <w:rPr>
          <w:rFonts w:ascii="Times New Roman" w:hAnsi="Times New Roman"/>
          <w:sz w:val="28"/>
          <w:szCs w:val="28"/>
        </w:rPr>
        <w:t xml:space="preserve"> В.А.</w:t>
      </w:r>
      <w:r w:rsidRPr="00EF521D">
        <w:rPr>
          <w:rFonts w:ascii="Times New Roman" w:hAnsi="Times New Roman"/>
          <w:sz w:val="28"/>
          <w:szCs w:val="28"/>
        </w:rPr>
        <w:t xml:space="preserve"> является</w:t>
      </w:r>
      <w:r w:rsidRPr="00EF521D">
        <w:rPr>
          <w:rFonts w:ascii="Times New Roman" w:hAnsi="Times New Roman"/>
          <w:sz w:val="28"/>
          <w:szCs w:val="28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1A3E09" w:rsidRPr="00EF521D" w:rsidP="00171C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D0E70" w:rsidRPr="00EF521D" w:rsidP="00171C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AD0E70" w:rsidRPr="00EF521D" w:rsidP="00171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1D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EF521D">
        <w:rPr>
          <w:rFonts w:ascii="Times New Roman" w:hAnsi="Times New Roman"/>
          <w:b/>
          <w:sz w:val="28"/>
          <w:szCs w:val="28"/>
        </w:rPr>
        <w:t>:</w:t>
      </w:r>
    </w:p>
    <w:p w:rsidR="00AD0E70" w:rsidRPr="00EF521D" w:rsidP="00AD0E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Новакова</w:t>
      </w:r>
      <w:r>
        <w:rPr>
          <w:rFonts w:ascii="Times New Roman" w:hAnsi="Times New Roman"/>
          <w:b/>
          <w:sz w:val="28"/>
          <w:szCs w:val="28"/>
        </w:rPr>
        <w:t xml:space="preserve">  Владислава Андреевича</w:t>
      </w:r>
      <w:r w:rsidRPr="00EF521D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EF521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EF521D"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предупреждения.</w:t>
      </w:r>
    </w:p>
    <w:p w:rsidR="00AD0E70" w:rsidRPr="00EF521D" w:rsidP="00AD0E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EF521D">
        <w:rPr>
          <w:rFonts w:ascii="Times New Roman" w:hAnsi="Times New Roman"/>
          <w:sz w:val="28"/>
          <w:szCs w:val="28"/>
        </w:rPr>
        <w:t>и</w:t>
      </w:r>
      <w:r w:rsidRPr="00EF521D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EF521D">
        <w:rPr>
          <w:rFonts w:ascii="Times New Roman" w:hAnsi="Times New Roman"/>
          <w:iCs/>
          <w:sz w:val="28"/>
          <w:szCs w:val="28"/>
        </w:rPr>
        <w:t>КоАП РФ</w:t>
      </w:r>
      <w:r w:rsidRPr="00EF521D">
        <w:rPr>
          <w:rFonts w:ascii="Times New Roman" w:hAnsi="Times New Roman"/>
          <w:sz w:val="28"/>
          <w:szCs w:val="28"/>
        </w:rPr>
        <w:t>.</w:t>
      </w:r>
    </w:p>
    <w:p w:rsidR="00AD0E70" w:rsidRPr="00EF521D" w:rsidP="00AD0E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171C22">
      <w:headerReference w:type="even" r:id="rId10"/>
      <w:headerReference w:type="default" r:id="rId11"/>
      <w:pgSz w:w="11906" w:h="16838"/>
      <w:pgMar w:top="-993" w:right="707" w:bottom="284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71471120"/>
      <w:docPartObj>
        <w:docPartGallery w:val="Page Numbers (Top of Page)"/>
        <w:docPartUnique/>
      </w:docPartObj>
    </w:sdtPr>
    <w:sdtContent>
      <w:p w:rsidR="001A3E0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C22">
          <w:rPr>
            <w:noProof/>
          </w:rPr>
          <w:t>2</w:t>
        </w:r>
        <w:r>
          <w:fldChar w:fldCharType="end"/>
        </w:r>
      </w:p>
    </w:sdtContent>
  </w:sdt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70"/>
    <w:rsid w:val="00171C22"/>
    <w:rsid w:val="001A3E09"/>
    <w:rsid w:val="001D049F"/>
    <w:rsid w:val="005046B8"/>
    <w:rsid w:val="005C63C1"/>
    <w:rsid w:val="006A1B3F"/>
    <w:rsid w:val="00825FDD"/>
    <w:rsid w:val="00835795"/>
    <w:rsid w:val="00AD0E70"/>
    <w:rsid w:val="00D93371"/>
    <w:rsid w:val="00EF521D"/>
    <w:rsid w:val="00F70181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70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0E70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AD0E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D0E70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AD0E70"/>
  </w:style>
  <w:style w:type="character" w:customStyle="1" w:styleId="FontStyle11">
    <w:name w:val="Font Style11"/>
    <w:uiPriority w:val="99"/>
    <w:rsid w:val="00AD0E7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0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AD0E70"/>
  </w:style>
  <w:style w:type="paragraph" w:styleId="Footer">
    <w:name w:val="footer"/>
    <w:basedOn w:val="Normal"/>
    <w:link w:val="a0"/>
    <w:uiPriority w:val="99"/>
    <w:unhideWhenUsed/>
    <w:rsid w:val="001A3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A3E09"/>
    <w:rPr>
      <w:rFonts w:ascii="Cambria" w:eastAsia="Times New Roman" w:hAnsi="Cambria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A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A3E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5" Type="http://schemas.openxmlformats.org/officeDocument/2006/relationships/hyperlink" Target="http://www.consultant.ru/document/cons_doc_LAW_286672/b004fed0b70d0f223e4a81f8ad6cd92af90a7e3b/" TargetMode="External" /><Relationship Id="rId6" Type="http://schemas.openxmlformats.org/officeDocument/2006/relationships/hyperlink" Target="http://www.consultant.ru/document/cons_doc_LAW_201393/3d0cac60971a511280cbba229d9b6329c07731f7/" TargetMode="External" /><Relationship Id="rId7" Type="http://schemas.openxmlformats.org/officeDocument/2006/relationships/hyperlink" Target="consultantplus://offline/ref=133191723F46B75603ED8EB50D16C2E984DBE8FEB6D54B99D7763360E85C524666828CC14F1B4E8AS4Q0H" TargetMode="External" /><Relationship Id="rId8" Type="http://schemas.openxmlformats.org/officeDocument/2006/relationships/hyperlink" Target="consultantplus://offline/ref=133191723F46B75603ED8EB50D16C2E984DBE8FEB6D54B99D7763360E85C524666828CC24E1CS4Q6H" TargetMode="External" /><Relationship Id="rId9" Type="http://schemas.openxmlformats.org/officeDocument/2006/relationships/hyperlink" Target="consultantplus://offline/ref=133191723F46B75603ED8EB50D16C2E984DBE8FEB6D54B99D7763360E85C524666828CC74D19S4Q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