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5FAF" w:rsidP="000934B8" w14:paraId="3E208AF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934B8" w:rsidRPr="00DB6D00" w:rsidP="000934B8" w14:paraId="6C537406" w14:textId="672F71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="003D019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63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A65FAF" w14:paraId="5896F67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30C903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D019C" w:rsidRPr="00C441B8" w:rsidP="003D019C" w14:paraId="26E25D00" w14:textId="50026FC8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5684273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A65FAF" w:rsidP="000934B8" w14:paraId="0EEBC2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34B8" w:rsidP="00A65FAF" w14:paraId="5B09AF8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65FAF" w:rsidRPr="001E3D02" w:rsidP="000934B8" w14:paraId="058E46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660ED1" w:rsidP="000934B8" w14:paraId="1D9FA842" w14:textId="4FC59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Нестеров А.В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</w:t>
      </w:r>
      <w:r w:rsidR="0003251B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налоговый орган по месту </w:t>
      </w:r>
      <w:r w:rsidR="0003251B">
        <w:rPr>
          <w:rFonts w:ascii="Times New Roman" w:eastAsia="Times New Roman" w:hAnsi="Times New Roman"/>
          <w:sz w:val="26"/>
          <w:szCs w:val="26"/>
          <w:lang w:eastAsia="ru-RU"/>
        </w:rPr>
        <w:t>регистарции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425736C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2B17CCE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4164DD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4EA8B9C3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 А.В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с</w:t>
      </w:r>
      <w:r w:rsidR="00A65FAF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A65FAF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FA10E4" w14:paraId="00A3CE18" w14:textId="2C1EAD91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</w:t>
      </w:r>
      <w:r w:rsidRPr="008521E1">
        <w:rPr>
          <w:rFonts w:ascii="Times New Roman" w:hAnsi="Times New Roman"/>
          <w:sz w:val="26"/>
          <w:szCs w:val="26"/>
        </w:rPr>
        <w:t xml:space="preserve">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A65FAF">
        <w:rPr>
          <w:rFonts w:ascii="Times New Roman" w:hAnsi="Times New Roman"/>
          <w:sz w:val="26"/>
          <w:szCs w:val="26"/>
        </w:rPr>
        <w:t>21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235738">
        <w:rPr>
          <w:rFonts w:ascii="Times New Roman" w:hAnsi="Times New Roman"/>
          <w:sz w:val="26"/>
          <w:szCs w:val="26"/>
        </w:rPr>
        <w:t>6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 А.В.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с</w:t>
      </w:r>
      <w:r w:rsidR="00A65FAF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 А.В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A65FAF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6C1E1A1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 А.В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6E4E5E88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Нестерова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64D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021DEBC8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3251B">
        <w:rPr>
          <w:rFonts w:ascii="Times New Roman" w:eastAsia="Times New Roman" w:hAnsi="Times New Roman"/>
          <w:sz w:val="26"/>
          <w:szCs w:val="26"/>
          <w:lang w:eastAsia="ru-RU"/>
        </w:rPr>
        <w:t>Нестерова  А.В.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40ED873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Нестерова А.В.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A65FA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A65FAF" w14:paraId="21BE5114" w14:textId="77777777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40D3AB8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4F8D7D91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EA6663" w:rsidP="00FA10E4" w14:paraId="74308688" w14:textId="3FCB305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EA6663" w:rsidP="00FA10E4" w14:paraId="6EFFC474" w14:textId="7964464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Н.А.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45940" w14:paraId="204FC699" w14:textId="77777777"/>
    <w:sectPr w:rsidSect="00A65FAF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3251B"/>
    <w:rsid w:val="000934B8"/>
    <w:rsid w:val="0016221B"/>
    <w:rsid w:val="001E3D02"/>
    <w:rsid w:val="00235738"/>
    <w:rsid w:val="00293978"/>
    <w:rsid w:val="003D019C"/>
    <w:rsid w:val="004164DD"/>
    <w:rsid w:val="005400CA"/>
    <w:rsid w:val="005A0AC5"/>
    <w:rsid w:val="00660ED1"/>
    <w:rsid w:val="008521E1"/>
    <w:rsid w:val="00A45940"/>
    <w:rsid w:val="00A65FAF"/>
    <w:rsid w:val="00C441B8"/>
    <w:rsid w:val="00DB6D00"/>
    <w:rsid w:val="00EA6663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