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575584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F54C5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41</w:t>
      </w:r>
      <w:r w:rsidR="004D035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0E1A8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12 июля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7EAFE4FE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F54C56">
        <w:rPr>
          <w:rFonts w:ascii="Times New Roman" w:eastAsia="Times New Roman" w:hAnsi="Times New Roman"/>
          <w:b/>
          <w:sz w:val="26"/>
          <w:szCs w:val="26"/>
          <w:lang w:eastAsia="ru-RU"/>
        </w:rPr>
        <w:t>Прокурова</w:t>
      </w:r>
      <w:r w:rsidR="00F54C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Тимура </w:t>
      </w:r>
      <w:r w:rsidR="00F54C56">
        <w:rPr>
          <w:rFonts w:ascii="Times New Roman" w:eastAsia="Times New Roman" w:hAnsi="Times New Roman"/>
          <w:b/>
          <w:sz w:val="26"/>
          <w:szCs w:val="26"/>
          <w:lang w:eastAsia="ru-RU"/>
        </w:rPr>
        <w:t>Наильевича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C12E94" w:rsidRPr="001E3D02" w:rsidP="00C12E94" w14:paraId="633F5FA9" w14:textId="2CD895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25809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Прокуров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Т.Н.,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за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524CADCE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="009F5E24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0F0C91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9F5E24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4999F1C9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235738">
        <w:rPr>
          <w:rFonts w:ascii="Times New Roman" w:hAnsi="Times New Roman"/>
          <w:sz w:val="26"/>
          <w:szCs w:val="26"/>
        </w:rPr>
        <w:t>с</w:t>
      </w:r>
      <w:r w:rsidR="00C12E94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C12E94">
        <w:rPr>
          <w:rFonts w:ascii="Times New Roman" w:hAnsi="Times New Roman"/>
          <w:sz w:val="26"/>
          <w:szCs w:val="26"/>
        </w:rPr>
        <w:t>я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FA10E4" w14:paraId="00A3CE18" w14:textId="340B40B5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9F5E24">
        <w:rPr>
          <w:rFonts w:ascii="Times New Roman" w:hAnsi="Times New Roman"/>
          <w:sz w:val="26"/>
          <w:szCs w:val="26"/>
        </w:rPr>
        <w:t>***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извещен телефонограммой, однако в судебное заседание не явил</w:t>
      </w:r>
      <w:r w:rsidR="00235738">
        <w:rPr>
          <w:rFonts w:ascii="Times New Roman" w:hAnsi="Times New Roman"/>
          <w:sz w:val="26"/>
          <w:szCs w:val="26"/>
        </w:rPr>
        <w:t>с</w:t>
      </w:r>
      <w:r w:rsidR="00C12E94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 w:rsidR="00235738">
        <w:rPr>
          <w:rFonts w:ascii="Times New Roman" w:hAnsi="Times New Roman"/>
          <w:sz w:val="26"/>
          <w:szCs w:val="26"/>
        </w:rPr>
        <w:t>с</w:t>
      </w:r>
      <w:r w:rsidR="00C12E94">
        <w:rPr>
          <w:rFonts w:ascii="Times New Roman" w:hAnsi="Times New Roman"/>
          <w:sz w:val="26"/>
          <w:szCs w:val="26"/>
        </w:rPr>
        <w:t>я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29DED50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A10E4" w:rsidRPr="008521E1" w:rsidP="00FA10E4" w14:paraId="7A824649" w14:textId="4B5A534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Прокурова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от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F5E2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МИФНС России №6 по РК электронного документа.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4E8075B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Прокурова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6869E2B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5220412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Прокурова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 xml:space="preserve"> Т.Н.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C12E94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8521E1" w:rsidP="00FA10E4" w14:paraId="64B47FD1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FA10E4" w14:paraId="7B986DE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21BE5114" w14:textId="77777777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1D392B6F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10E4" w:rsidRPr="008521E1" w:rsidP="00FA10E4" w14:paraId="3543F985" w14:textId="514A5CD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Прокурова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Тимура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Наильевича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083B700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272BD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272BD0" w:rsidP="00FA10E4" w14:paraId="106969D3" w14:textId="52C4BA98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272BD0" w:rsidP="00FA10E4" w14:paraId="1AE4FB8F" w14:textId="4469CC6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A45940" w14:paraId="204FC699" w14:textId="77777777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934B8"/>
    <w:rsid w:val="001E3D02"/>
    <w:rsid w:val="001E5268"/>
    <w:rsid w:val="00235738"/>
    <w:rsid w:val="00272BD0"/>
    <w:rsid w:val="00293978"/>
    <w:rsid w:val="004D0352"/>
    <w:rsid w:val="005400CA"/>
    <w:rsid w:val="005A0AC5"/>
    <w:rsid w:val="00660ED1"/>
    <w:rsid w:val="008521E1"/>
    <w:rsid w:val="009F5E24"/>
    <w:rsid w:val="00A45940"/>
    <w:rsid w:val="00C12E94"/>
    <w:rsid w:val="00DB6D00"/>
    <w:rsid w:val="00F54C56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