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D10" w:rsidRPr="008E2D10" w:rsidP="008E2D10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E2D10">
        <w:rPr>
          <w:rFonts w:ascii="Times New Roman" w:hAnsi="Times New Roman"/>
          <w:color w:val="000000" w:themeColor="text1"/>
          <w:sz w:val="28"/>
          <w:szCs w:val="28"/>
        </w:rPr>
        <w:t>Дело № 5-38-559/2019</w:t>
      </w:r>
    </w:p>
    <w:p w:rsidR="008E2D10" w:rsidRPr="008E2D10" w:rsidP="008E2D10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10">
        <w:rPr>
          <w:rFonts w:ascii="Times New Roman" w:hAnsi="Times New Roman"/>
          <w:sz w:val="28"/>
          <w:szCs w:val="28"/>
        </w:rPr>
        <w:t>ПОСТАНОВЛЕНИЕ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декабря</w:t>
      </w:r>
      <w:r w:rsidRPr="00EF521D">
        <w:rPr>
          <w:rFonts w:ascii="Times New Roman" w:hAnsi="Times New Roman"/>
          <w:sz w:val="28"/>
          <w:szCs w:val="28"/>
        </w:rPr>
        <w:t xml:space="preserve"> 2019 го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EF521D">
        <w:rPr>
          <w:rFonts w:ascii="Times New Roman" w:hAnsi="Times New Roman"/>
          <w:sz w:val="28"/>
          <w:szCs w:val="28"/>
        </w:rPr>
        <w:t xml:space="preserve">  г. Евпатория, пр. Ленина, 51/50</w:t>
      </w:r>
    </w:p>
    <w:p w:rsidR="008E2D10" w:rsidRPr="008E2D10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F521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8E2D10">
        <w:rPr>
          <w:rFonts w:ascii="Times New Roman" w:hAnsi="Times New Roman"/>
          <w:sz w:val="28"/>
          <w:szCs w:val="28"/>
        </w:rPr>
        <w:t xml:space="preserve">ответственности 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D10">
        <w:rPr>
          <w:rFonts w:ascii="Times New Roman" w:hAnsi="Times New Roman"/>
          <w:sz w:val="28"/>
          <w:szCs w:val="28"/>
        </w:rPr>
        <w:t>Ничепоренко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2D10">
        <w:rPr>
          <w:rFonts w:ascii="Times New Roman" w:hAnsi="Times New Roman"/>
          <w:sz w:val="28"/>
          <w:szCs w:val="28"/>
        </w:rPr>
        <w:t>Павла Александровича</w:t>
      </w:r>
      <w:r w:rsidRPr="00EF521D">
        <w:rPr>
          <w:rFonts w:ascii="Times New Roman" w:hAnsi="Times New Roman"/>
          <w:sz w:val="28"/>
          <w:szCs w:val="28"/>
        </w:rPr>
        <w:t xml:space="preserve">, </w:t>
      </w:r>
      <w:r w:rsidR="002B3F27">
        <w:rPr>
          <w:rFonts w:ascii="Times New Roman" w:hAnsi="Times New Roman"/>
          <w:sz w:val="28"/>
          <w:szCs w:val="28"/>
        </w:rPr>
        <w:t>личные данные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8E2D10" w:rsidRPr="008E2D10" w:rsidP="008E2D10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10">
        <w:rPr>
          <w:rFonts w:ascii="Times New Roman" w:hAnsi="Times New Roman"/>
          <w:sz w:val="28"/>
          <w:szCs w:val="28"/>
        </w:rPr>
        <w:t>УСТАНОВИЛ: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 являясь </w:t>
      </w:r>
      <w:r w:rsidR="002B3F27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 зарегистрированного  по адресу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, не предоставил в установленный срок,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страховом стаже застрахованного лица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(форма СЗВ-СТАЖ) за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 год.</w:t>
      </w:r>
    </w:p>
    <w:p w:rsidR="008E2D10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Местом совершения правонарушения - </w:t>
      </w:r>
      <w:r w:rsidR="002B3F27">
        <w:rPr>
          <w:rFonts w:ascii="Times New Roman" w:hAnsi="Times New Roman"/>
          <w:sz w:val="28"/>
          <w:szCs w:val="28"/>
        </w:rPr>
        <w:t>**</w:t>
      </w:r>
    </w:p>
    <w:p w:rsidR="008E2D10" w:rsidRPr="00B74B1C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Pr="00B74B1C">
        <w:rPr>
          <w:rFonts w:ascii="Times New Roman" w:hAnsi="Times New Roman"/>
          <w:sz w:val="28"/>
          <w:szCs w:val="28"/>
        </w:rPr>
        <w:t>в суд не явился, о слушании дела извещался надлежащим образом, о причинах неявки суд не уведомил, с ходатайством об отложении судебного разбирательства не обращался.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F521D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F521D">
        <w:rPr>
          <w:rFonts w:ascii="Times New Roman" w:hAnsi="Times New Roman"/>
          <w:sz w:val="28"/>
          <w:szCs w:val="28"/>
        </w:rPr>
        <w:t>дств св</w:t>
      </w:r>
      <w:r w:rsidRPr="00EF521D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8E2D10" w:rsidP="008E2D10">
      <w:pPr>
        <w:pStyle w:val="ConsPlusNormal"/>
        <w:ind w:firstLine="540"/>
        <w:jc w:val="both"/>
        <w:rPr>
          <w:sz w:val="28"/>
          <w:szCs w:val="28"/>
        </w:rPr>
      </w:pPr>
      <w:r w:rsidRPr="00EF521D">
        <w:rPr>
          <w:sz w:val="28"/>
          <w:szCs w:val="28"/>
        </w:rPr>
        <w:t>Согласно материалов</w:t>
      </w:r>
      <w:r w:rsidRPr="00EF521D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2B3F27">
        <w:rPr>
          <w:sz w:val="28"/>
          <w:szCs w:val="28"/>
        </w:rPr>
        <w:t>**</w:t>
      </w:r>
      <w:r w:rsidRPr="00EF52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Ничепоренко П.А.</w:t>
      </w:r>
      <w:r w:rsidRPr="00EF521D">
        <w:rPr>
          <w:sz w:val="28"/>
          <w:szCs w:val="28"/>
        </w:rPr>
        <w:t xml:space="preserve"> извещал</w:t>
      </w:r>
      <w:r>
        <w:rPr>
          <w:sz w:val="28"/>
          <w:szCs w:val="28"/>
        </w:rPr>
        <w:t>ся</w:t>
      </w:r>
      <w:r w:rsidRPr="00EF521D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 xml:space="preserve">направления судебной повестки по месту жительства. </w:t>
      </w:r>
      <w:r>
        <w:rPr>
          <w:sz w:val="28"/>
          <w:szCs w:val="28"/>
        </w:rPr>
        <w:t>Согласно отчета</w:t>
      </w:r>
      <w:r>
        <w:rPr>
          <w:sz w:val="28"/>
          <w:szCs w:val="28"/>
        </w:rPr>
        <w:t xml:space="preserve"> об отслеживании отправления с почтовым идентификатором </w:t>
      </w:r>
      <w:r w:rsidR="002B3F27">
        <w:rPr>
          <w:sz w:val="28"/>
          <w:szCs w:val="28"/>
        </w:rPr>
        <w:t>**</w:t>
      </w:r>
      <w:r>
        <w:rPr>
          <w:sz w:val="28"/>
          <w:szCs w:val="28"/>
        </w:rPr>
        <w:t xml:space="preserve">  судебная повестка была получена адресатом.</w:t>
      </w:r>
    </w:p>
    <w:p w:rsidR="008E2D10" w:rsidRPr="00EF521D" w:rsidP="008E2D10">
      <w:pPr>
        <w:pStyle w:val="ConsPlusNormal"/>
        <w:ind w:firstLine="540"/>
        <w:jc w:val="both"/>
        <w:rPr>
          <w:sz w:val="28"/>
          <w:szCs w:val="28"/>
        </w:rPr>
      </w:pPr>
      <w:r w:rsidRPr="00057409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sz w:val="28"/>
          <w:szCs w:val="28"/>
        </w:rPr>
        <w:t>Ничепоренко П.А.</w:t>
      </w:r>
      <w:r w:rsidRPr="00EF521D">
        <w:rPr>
          <w:sz w:val="28"/>
          <w:szCs w:val="28"/>
        </w:rPr>
        <w:t xml:space="preserve"> </w:t>
      </w:r>
      <w:r w:rsidRPr="00057409">
        <w:rPr>
          <w:sz w:val="28"/>
          <w:szCs w:val="28"/>
        </w:rPr>
        <w:t>о рассмотрении дела</w:t>
      </w:r>
      <w:r w:rsidRPr="00057409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EF521D">
        <w:rPr>
          <w:sz w:val="28"/>
          <w:szCs w:val="28"/>
        </w:rPr>
        <w:t xml:space="preserve"> ходатайством об отложении судебного разбирательства на судебный участок </w:t>
      </w:r>
      <w:r>
        <w:rPr>
          <w:sz w:val="28"/>
          <w:szCs w:val="28"/>
        </w:rPr>
        <w:t>Ничепоренко П.А.</w:t>
      </w:r>
      <w:r w:rsidRPr="00EF521D">
        <w:rPr>
          <w:sz w:val="28"/>
          <w:szCs w:val="28"/>
        </w:rPr>
        <w:t xml:space="preserve"> не обращал</w:t>
      </w:r>
      <w:r>
        <w:rPr>
          <w:sz w:val="28"/>
          <w:szCs w:val="28"/>
        </w:rPr>
        <w:t>ся</w:t>
      </w:r>
      <w:r w:rsidRPr="00EF521D">
        <w:rPr>
          <w:sz w:val="28"/>
          <w:szCs w:val="28"/>
        </w:rPr>
        <w:t xml:space="preserve">, </w:t>
      </w:r>
      <w:r w:rsidRPr="00EF521D">
        <w:rPr>
          <w:sz w:val="28"/>
          <w:szCs w:val="28"/>
        </w:rPr>
        <w:t>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, как </w:t>
      </w:r>
      <w:r w:rsidR="002B3F27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совершил</w:t>
      </w:r>
      <w:r w:rsidRPr="00EF521D">
        <w:rPr>
          <w:rFonts w:ascii="Times New Roman" w:hAnsi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застрахованного лица 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(форма СЗВ-СТАЖ) за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 год.</w:t>
      </w: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8"/>
          <w:szCs w:val="28"/>
        </w:rPr>
        <w:t xml:space="preserve">истративном правонарушении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выпиской</w:t>
      </w:r>
      <w:r w:rsidRPr="00EF521D">
        <w:rPr>
          <w:rFonts w:ascii="Times New Roman" w:hAnsi="Times New Roman"/>
          <w:sz w:val="28"/>
          <w:szCs w:val="28"/>
        </w:rPr>
        <w:t xml:space="preserve"> из Единого государственного реестра, уведомлением о регистрации </w:t>
      </w:r>
      <w:r w:rsidR="002B3F27">
        <w:rPr>
          <w:rFonts w:ascii="Times New Roman" w:hAnsi="Times New Roman"/>
          <w:sz w:val="28"/>
          <w:szCs w:val="28"/>
        </w:rPr>
        <w:t xml:space="preserve">*** </w:t>
      </w:r>
      <w:r w:rsidRPr="00EF521D">
        <w:rPr>
          <w:rFonts w:ascii="Times New Roman" w:hAnsi="Times New Roman"/>
          <w:sz w:val="28"/>
          <w:szCs w:val="28"/>
        </w:rPr>
        <w:t xml:space="preserve">в территориальном органе ПФ РФ, </w:t>
      </w:r>
      <w:r>
        <w:rPr>
          <w:rFonts w:ascii="Times New Roman" w:hAnsi="Times New Roman"/>
          <w:sz w:val="28"/>
          <w:szCs w:val="28"/>
        </w:rPr>
        <w:t xml:space="preserve">формой ОДВ-1 за </w:t>
      </w:r>
      <w:r w:rsidR="002B3F27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2B3F27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датой получения Органом </w:t>
      </w:r>
      <w:r w:rsidR="002B3F27">
        <w:rPr>
          <w:rFonts w:ascii="Times New Roman" w:hAnsi="Times New Roman"/>
          <w:sz w:val="28"/>
          <w:szCs w:val="28"/>
        </w:rPr>
        <w:t>**</w:t>
      </w:r>
    </w:p>
    <w:p w:rsidR="008E2D10" w:rsidRPr="00EF521D" w:rsidP="008E2D1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EF521D">
        <w:rPr>
          <w:rFonts w:ascii="Times New Roman" w:hAnsi="Times New Roman"/>
          <w:sz w:val="28"/>
          <w:szCs w:val="28"/>
        </w:rPr>
        <w:t>сведения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  <w:r w:rsidRPr="00EF521D">
        <w:rPr>
          <w:rFonts w:ascii="Times New Roman" w:hAnsi="Times New Roman"/>
          <w:sz w:val="28"/>
          <w:szCs w:val="28"/>
        </w:rPr>
        <w:t xml:space="preserve"> следующие </w:t>
      </w:r>
      <w:hyperlink r:id="rId4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EF521D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EF521D">
        <w:rPr>
          <w:rFonts w:ascii="Times New Roman" w:hAnsi="Times New Roman"/>
          <w:sz w:val="28"/>
          <w:szCs w:val="28"/>
        </w:rPr>
        <w:t>:</w:t>
      </w:r>
      <w:r w:rsidRPr="00EF521D">
        <w:rPr>
          <w:rStyle w:val="Hyperlink"/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1) страховой номер индивидуального лицевого счета;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2) фамилию, имя и отчество;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 xml:space="preserve">6) - 7) утратили силу с 1 января 2017 года. -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Федеральный </w:t>
      </w:r>
      <w:hyperlink r:id="rId5" w:anchor="dst100049" w:history="1">
        <w:r w:rsidRPr="00EF521D">
          <w:rPr>
            <w:rStyle w:val="Hyperlink"/>
            <w:rFonts w:ascii="Times New Roman" w:hAnsi="Times New Roman"/>
            <w:color w:val="666699"/>
            <w:sz w:val="28"/>
            <w:szCs w:val="28"/>
          </w:rPr>
          <w:t>закон</w:t>
        </w:r>
      </w:hyperlink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от 03.07.2016 N 250-ФЗ;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6" w:anchor="dst100153" w:history="1">
        <w:r w:rsidRPr="00EF521D">
          <w:rPr>
            <w:rStyle w:val="Hyperlink"/>
            <w:rFonts w:ascii="Times New Roman" w:hAnsi="Times New Roman"/>
            <w:color w:val="666699"/>
            <w:sz w:val="28"/>
            <w:szCs w:val="28"/>
          </w:rPr>
          <w:t>8)</w:t>
        </w:r>
      </w:hyperlink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8E2D10" w:rsidRPr="00EF521D" w:rsidP="008E2D10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8E2D10" w:rsidRPr="00EF521D" w:rsidP="008E2D10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EF521D">
          <w:rPr>
            <w:rFonts w:ascii="Times New Roman" w:hAnsi="Times New Roman"/>
            <w:color w:val="000000" w:themeColor="text1"/>
            <w:sz w:val="28"/>
            <w:szCs w:val="28"/>
          </w:rPr>
          <w:t>раздела II</w:t>
        </w:r>
      </w:hyperlink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EF521D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3.4</w:t>
        </w:r>
      </w:hyperlink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EF521D">
          <w:rPr>
            <w:rFonts w:ascii="Times New Roman" w:hAnsi="Times New Roman"/>
            <w:color w:val="000000" w:themeColor="text1"/>
            <w:sz w:val="28"/>
            <w:szCs w:val="28"/>
          </w:rPr>
          <w:t>частью 2</w:t>
        </w:r>
      </w:hyperlink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которого </w:t>
      </w:r>
      <w:r w:rsidRPr="00EF521D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Ничепоренко П.А.</w:t>
      </w:r>
      <w:r w:rsidRPr="00EF521D">
        <w:rPr>
          <w:rFonts w:ascii="Times New Roman" w:hAnsi="Times New Roman"/>
          <w:sz w:val="28"/>
          <w:szCs w:val="28"/>
        </w:rPr>
        <w:t xml:space="preserve"> является</w:t>
      </w:r>
      <w:r w:rsidRPr="00EF521D">
        <w:rPr>
          <w:rFonts w:ascii="Times New Roman" w:hAnsi="Times New Roman"/>
          <w:sz w:val="28"/>
          <w:szCs w:val="28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8E2D10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D10" w:rsidRPr="008E2D10" w:rsidP="008E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10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8E2D10">
        <w:rPr>
          <w:rFonts w:ascii="Times New Roman" w:hAnsi="Times New Roman"/>
          <w:sz w:val="28"/>
          <w:szCs w:val="28"/>
        </w:rPr>
        <w:t>:</w:t>
      </w:r>
    </w:p>
    <w:p w:rsidR="008E2D10" w:rsidRPr="00EF521D" w:rsidP="008E2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D10">
        <w:rPr>
          <w:rFonts w:ascii="Times New Roman" w:hAnsi="Times New Roman"/>
          <w:sz w:val="28"/>
          <w:szCs w:val="28"/>
        </w:rPr>
        <w:t>Ничепоренко Павла Александровича</w:t>
      </w:r>
      <w:r w:rsidRPr="00EF521D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EF521D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EF521D">
        <w:rPr>
          <w:rFonts w:ascii="Times New Roman" w:hAnsi="Times New Roman"/>
          <w:sz w:val="28"/>
          <w:szCs w:val="28"/>
        </w:rPr>
        <w:t>и</w:t>
      </w:r>
      <w:r w:rsidRPr="00EF521D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EF521D">
        <w:rPr>
          <w:rFonts w:ascii="Times New Roman" w:hAnsi="Times New Roman"/>
          <w:iCs/>
          <w:sz w:val="28"/>
          <w:szCs w:val="28"/>
        </w:rPr>
        <w:t>КоАП РФ</w:t>
      </w:r>
      <w:r w:rsidRPr="00EF521D">
        <w:rPr>
          <w:rFonts w:ascii="Times New Roman" w:hAnsi="Times New Roman"/>
          <w:sz w:val="28"/>
          <w:szCs w:val="28"/>
        </w:rPr>
        <w:t>.</w:t>
      </w:r>
    </w:p>
    <w:p w:rsidR="008E2D10" w:rsidRPr="00EF521D" w:rsidP="008E2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D10" w:rsidRPr="00EF521D" w:rsidP="008E2D10">
      <w:pPr>
        <w:rPr>
          <w:rFonts w:ascii="Times New Roman" w:hAnsi="Times New Roman"/>
          <w:sz w:val="28"/>
          <w:szCs w:val="28"/>
        </w:rPr>
      </w:pPr>
    </w:p>
    <w:p w:rsidR="008E2D10" w:rsidRPr="00EF521D" w:rsidP="008E2D10">
      <w:pPr>
        <w:rPr>
          <w:rFonts w:ascii="Times New Roman" w:hAnsi="Times New Roman"/>
          <w:sz w:val="28"/>
          <w:szCs w:val="28"/>
        </w:rPr>
      </w:pPr>
    </w:p>
    <w:p w:rsidR="008E2D10" w:rsidRPr="00EF521D" w:rsidP="008E2D1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D10" w:rsidRPr="00EF521D" w:rsidP="008E2D10">
      <w:pPr>
        <w:rPr>
          <w:rFonts w:ascii="Times New Roman" w:hAnsi="Times New Roman"/>
          <w:sz w:val="28"/>
          <w:szCs w:val="28"/>
        </w:rPr>
      </w:pPr>
    </w:p>
    <w:p w:rsidR="008E2D10" w:rsidP="008E2D10"/>
    <w:p w:rsidR="00C26D01"/>
    <w:sectPr w:rsidSect="009256B7">
      <w:headerReference w:type="even" r:id="rId10"/>
      <w:headerReference w:type="default" r:id="rId11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10"/>
    <w:rsid w:val="00057409"/>
    <w:rsid w:val="002B3F27"/>
    <w:rsid w:val="003F6FE6"/>
    <w:rsid w:val="003F74C0"/>
    <w:rsid w:val="00825FDD"/>
    <w:rsid w:val="00835795"/>
    <w:rsid w:val="008E2D10"/>
    <w:rsid w:val="00B74B1C"/>
    <w:rsid w:val="00C26D01"/>
    <w:rsid w:val="00EF521D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10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2D1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8E2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E2D1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E2D10"/>
  </w:style>
  <w:style w:type="character" w:customStyle="1" w:styleId="FontStyle11">
    <w:name w:val="Font Style11"/>
    <w:uiPriority w:val="99"/>
    <w:rsid w:val="008E2D1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E2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8E2D10"/>
  </w:style>
  <w:style w:type="paragraph" w:styleId="BalloonText">
    <w:name w:val="Balloon Text"/>
    <w:basedOn w:val="Normal"/>
    <w:link w:val="a0"/>
    <w:uiPriority w:val="99"/>
    <w:semiHidden/>
    <w:unhideWhenUsed/>
    <w:rsid w:val="008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2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http://www.consultant.ru/document/cons_doc_LAW_286672/b004fed0b70d0f223e4a81f8ad6cd92af90a7e3b/" TargetMode="External" /><Relationship Id="rId6" Type="http://schemas.openxmlformats.org/officeDocument/2006/relationships/hyperlink" Target="http://www.consultant.ru/document/cons_doc_LAW_201393/3d0cac60971a511280cbba229d9b6329c07731f7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