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Штраф необходимо оплатить по следующим реквизитам: получатель - УФК по Республике Крым (Министер</w:t>
      </w:r>
      <w:r>
        <w:rPr>
          <w:sz w:val="28"/>
        </w:rPr>
        <w:t xml:space="preserve">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