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81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641A49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641A49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>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41A49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1A49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F79C-73B7-44A0-9A7A-18FA1537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