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709"/>
        <w:jc w:val="righ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Дело № 05-0490/41/2022</w:t>
      </w:r>
    </w:p>
    <w:p>
      <w:pPr>
        <w:spacing w:before="0" w:after="0" w:line="240" w:lineRule="auto"/>
        <w:ind w:left="0" w:right="0" w:firstLine="709"/>
        <w:jc w:val="righ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 xml:space="preserve">ПОСТАНОВЛЕНИЕ 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15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декабря 2022 года                                   г. Евпатория ул. Горького, 10/29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                                       к административной ответственности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Павленко Романа Николаевича,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,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 ч. 1 ст. 20.25. КоАП РФ,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14.10.2022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года в 00:01 час. Павленко Р.Н. находясь по месту жительства по адресу: Республика Крым, г. Евпатория,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 истечении 60-ти дней для добровольной оплаты штрафа, установленных ч. 1 ст. 32.2 КоАП РФ, не оплатила штраф в размере 500,00 рублей, назначенный по постановлению заместителя начальника полиции ОМВД России по г. Евпатории подполковником полиции Сухаревым И.М.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г 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Своими действиями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Павленко Р.Н.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совершил правонарушение, предусмотренное  ч. 1 ст. 20.25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суде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Павленко Р.Н.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вину признал, не отрицал обстоятельств указанных  в протоколе об административном правонарушении.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Павленко Р.Н.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Павленко Р.Н.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совершении правонарушения подтверждается: сведениями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года, рапортом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листом контроля, письменными объяснениями Павленко Р.Н., копией постановления заместителя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согласно которому на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Павленко Р.Н.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наложен штраф в сумме 500,00 рублей с отметкой о вступлении в законную силу 13.08.2022 года и другими материалами, которые составлены надлежащим образом, получены с соблюдением требований закона   и являются допустимыми доказательствами.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 административного наказания, мировой судья,                              в соответствии со ст. 4.1 КоАП РФ учитывает общие правила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назначения административного наказания, основанные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 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принципах справедливости, соразмерности и индивидуализации ответственности, принимает                                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                                 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Назначение иного вида наказания суд считает нецелесообразным.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Руководствуясь ст. ст. ст. 20.25 ч.1, 29.9 29.10 КоАП РФ, мировой судья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Павленко Романа Николаевича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  в виде штрафа в размере 1000 (одна тысяча) рублей.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Штраф подлежит уплате по следующим реквизитам: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случае неуплаты, штраф подлежит принудительному взысканию                    в соответствии с действующим законодательством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в порядке, предусмотренном ст. 30.2 КоАП РФ.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  <w:t>Мировой судья                                                                      Е.Г. Кунцова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