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5-42-176/2017</w:t>
      </w:r>
    </w:p>
    <w:p w:rsidR="00A77B3E">
      <w:r>
        <w:t xml:space="preserve">ПОСТАНОВЛЕНИЕ </w:t>
      </w:r>
    </w:p>
    <w:p w:rsidR="00A77B3E">
      <w:r>
        <w:t xml:space="preserve">07 июня 2017 года                           </w:t>
        <w:tab/>
        <w:t xml:space="preserve">                      г. Евпатория,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гражданку Российской Федерации,  работающую ......, зарегистрированной и проживающей по адресу: адрес.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фио являясь председателем ..., совершила нарушение законодательства о налогах и сборах, в части непредставления в установленный ст. 346.23 Налогового кодекса РФ налоговой декларации по налогу  уплачиваемому в связи с применением упрощенной системы налогообложения за 2016 год.</w:t>
      </w:r>
    </w:p>
    <w:p w:rsidR="00A77B3E">
      <w:r>
        <w:t>Фактически налоговая декларация по ...адрес предоставлена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...адрес, расположенное по адресу: адрес.</w:t>
      </w:r>
    </w:p>
    <w:p w:rsidR="00A77B3E">
      <w:r>
        <w:t>В судебном заседании фио вину в совершении инкриминируемого административного правонарушения признала, не оспаривал обстоятельств, изложенных в протоколе. Просила назначить административное наказание в минимальном размере.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фио как председатель ...адрес,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ст. 346.23 Налогового кодекса РФ срок налоговой декларации по налогу уплачиваемому в связи с применением упрощенной системы налогообложения за 2016г..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ab/>
        <w:t>В силу п. 1 ст. 80 НК РФ 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 xml:space="preserve">     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п.1 ст. 346.23 НК РФ.</w:t>
      </w:r>
    </w:p>
    <w:p w:rsidR="00A77B3E">
      <w:r>
        <w:t xml:space="preserve">     Согласно ст. 346.19 НК РФ налоговым периодом признается календарный год.</w:t>
      </w:r>
    </w:p>
    <w:p w:rsidR="00A77B3E">
      <w:r>
        <w:t xml:space="preserve">     Статьей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A77B3E">
      <w:r>
        <w:t>Исходя из изложенного, мировой судья считает необходимым привлечь фио к административной ответственности, и назначить ей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...                  </w:t>
        <w:tab/>
        <w:t xml:space="preserve">           Н.А. Киоса</w:t>
      </w:r>
    </w:p>
    <w:p w:rsidR="00A77B3E">
      <w:r>
        <w:t>...</w:t>
        <w:tab/>
        <w:tab/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