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47A" w:rsidP="00FC247A">
      <w:pPr>
        <w:ind w:left="6372"/>
        <w:jc w:val="both"/>
        <w:rPr>
          <w:sz w:val="19"/>
          <w:szCs w:val="19"/>
        </w:rPr>
      </w:pPr>
      <w:r>
        <w:rPr>
          <w:b/>
          <w:sz w:val="19"/>
          <w:szCs w:val="19"/>
        </w:rPr>
        <w:t xml:space="preserve">     </w:t>
      </w:r>
      <w:r>
        <w:rPr>
          <w:sz w:val="19"/>
          <w:szCs w:val="19"/>
        </w:rPr>
        <w:t>Дело № 5-46-171/2023</w:t>
      </w:r>
    </w:p>
    <w:p w:rsidR="00FC247A" w:rsidP="00FC247A">
      <w:pPr>
        <w:jc w:val="center"/>
        <w:rPr>
          <w:b/>
          <w:sz w:val="19"/>
          <w:szCs w:val="19"/>
        </w:rPr>
      </w:pPr>
      <w:r>
        <w:rPr>
          <w:b/>
          <w:sz w:val="19"/>
          <w:szCs w:val="19"/>
        </w:rPr>
        <w:t>ПОСТАНОВЛЕНИЕ</w:t>
      </w:r>
    </w:p>
    <w:p w:rsidR="00FC247A" w:rsidP="00FC247A">
      <w:pPr>
        <w:jc w:val="both"/>
        <w:rPr>
          <w:sz w:val="19"/>
          <w:szCs w:val="19"/>
        </w:rPr>
      </w:pPr>
      <w:r>
        <w:rPr>
          <w:sz w:val="19"/>
          <w:szCs w:val="19"/>
        </w:rPr>
        <w:t>29 июня 2023 года</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г. Керчь</w:t>
      </w:r>
    </w:p>
    <w:p w:rsidR="00FC247A" w:rsidP="00FC247A">
      <w:pPr>
        <w:jc w:val="both"/>
        <w:rPr>
          <w:sz w:val="19"/>
          <w:szCs w:val="19"/>
        </w:rPr>
      </w:pPr>
    </w:p>
    <w:p w:rsidR="00FC247A" w:rsidP="00FC247A">
      <w:pPr>
        <w:ind w:firstLine="708"/>
        <w:jc w:val="both"/>
        <w:rPr>
          <w:sz w:val="19"/>
          <w:szCs w:val="19"/>
        </w:rPr>
      </w:pPr>
      <w:r>
        <w:rPr>
          <w:sz w:val="19"/>
          <w:szCs w:val="19"/>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19.7 Кодекса Российской Федерации об административных правонарушениях (далее - КоАП РФ), в отношении</w:t>
      </w:r>
    </w:p>
    <w:p w:rsidR="00FC247A" w:rsidP="00FC247A">
      <w:pPr>
        <w:ind w:left="1416"/>
        <w:jc w:val="both"/>
        <w:rPr>
          <w:sz w:val="19"/>
          <w:szCs w:val="19"/>
        </w:rPr>
      </w:pPr>
      <w:r>
        <w:rPr>
          <w:sz w:val="19"/>
          <w:szCs w:val="19"/>
        </w:rPr>
        <w:t>юридического лица – Акционерного общества «Керченский завод строительной керамики «Сармат», ИНН 9111004159, КПП 911101001, ОГРН: 1149102079939 юридический адрес: г. Керчь, ул. Котовского, 3,  директор- Вышинский Геннадий Леонидович,</w:t>
      </w:r>
    </w:p>
    <w:p w:rsidR="00FC247A" w:rsidP="00FC247A">
      <w:pPr>
        <w:jc w:val="center"/>
        <w:rPr>
          <w:b/>
          <w:sz w:val="19"/>
          <w:szCs w:val="19"/>
        </w:rPr>
      </w:pPr>
      <w:r>
        <w:rPr>
          <w:b/>
          <w:sz w:val="19"/>
          <w:szCs w:val="19"/>
        </w:rPr>
        <w:t>УСТАНОВИЛ:</w:t>
      </w:r>
    </w:p>
    <w:p w:rsidR="00FC247A" w:rsidRPr="00FC247A" w:rsidP="00FC247A">
      <w:pPr>
        <w:ind w:firstLine="708"/>
        <w:jc w:val="both"/>
        <w:rPr>
          <w:sz w:val="18"/>
          <w:szCs w:val="18"/>
        </w:rPr>
      </w:pPr>
      <w:r w:rsidRPr="00FC247A">
        <w:rPr>
          <w:rFonts w:eastAsia="Calibri"/>
          <w:sz w:val="18"/>
          <w:szCs w:val="18"/>
          <w:lang w:eastAsia="en-US"/>
        </w:rPr>
        <w:t xml:space="preserve">Согласно протоколу об административном правонарушении № </w:t>
      </w:r>
      <w:r w:rsidRPr="00FC247A">
        <w:rPr>
          <w:rFonts w:eastAsia="Calibri"/>
          <w:sz w:val="18"/>
          <w:szCs w:val="18"/>
          <w:lang w:eastAsia="en-US"/>
        </w:rPr>
        <w:t>/изъято/</w:t>
      </w:r>
      <w:r w:rsidRPr="00FC247A">
        <w:rPr>
          <w:rFonts w:eastAsia="Calibri"/>
          <w:sz w:val="18"/>
          <w:szCs w:val="18"/>
          <w:lang w:eastAsia="en-US"/>
        </w:rPr>
        <w:t xml:space="preserve"> от </w:t>
      </w:r>
      <w:r w:rsidRPr="00FC247A">
        <w:rPr>
          <w:sz w:val="18"/>
          <w:szCs w:val="18"/>
        </w:rPr>
        <w:t>/изъято/</w:t>
      </w:r>
    </w:p>
    <w:p w:rsidR="00FC247A" w:rsidRPr="00FC247A" w:rsidP="00FC247A">
      <w:pPr>
        <w:jc w:val="both"/>
        <w:rPr>
          <w:sz w:val="18"/>
          <w:szCs w:val="18"/>
        </w:rPr>
      </w:pPr>
      <w:r w:rsidRPr="00FC247A">
        <w:rPr>
          <w:rFonts w:eastAsia="Calibri"/>
          <w:sz w:val="18"/>
          <w:szCs w:val="18"/>
          <w:lang w:eastAsia="en-US"/>
        </w:rPr>
        <w:t xml:space="preserve">года, </w:t>
      </w:r>
      <w:r w:rsidRPr="00FC247A">
        <w:rPr>
          <w:sz w:val="18"/>
          <w:szCs w:val="18"/>
        </w:rPr>
        <w:t>Акционерное общество «Керченский завод строительной керамики «Сармат» (далее – АО «КЗСК «Сармат») /изъято/</w:t>
      </w:r>
      <w:r w:rsidRPr="00FC247A">
        <w:rPr>
          <w:sz w:val="18"/>
          <w:szCs w:val="18"/>
        </w:rPr>
        <w:t xml:space="preserve"> года в </w:t>
      </w:r>
      <w:r w:rsidRPr="00FC247A">
        <w:rPr>
          <w:sz w:val="18"/>
          <w:szCs w:val="18"/>
        </w:rPr>
        <w:t>/изъято/</w:t>
      </w:r>
      <w:r w:rsidRPr="00FC247A">
        <w:rPr>
          <w:sz w:val="18"/>
          <w:szCs w:val="18"/>
        </w:rPr>
        <w:t xml:space="preserve">часов </w:t>
      </w:r>
      <w:r w:rsidRPr="00FC247A">
        <w:rPr>
          <w:sz w:val="18"/>
          <w:szCs w:val="18"/>
        </w:rPr>
        <w:t>/изъято/ минута по адресу/изъято/не выполнена обязанность по предоставлению годовой бухгалтерской  (финансовой) отчетности за 2022 год, которая размещается в Государственном информационном ресурсе бухгалтерской отчетности, чем совершено административное правонарушение, предусмотренное ст.19.7 КоАП РФ.</w:t>
      </w:r>
    </w:p>
    <w:p w:rsidR="00FC247A" w:rsidP="00FC247A">
      <w:pPr>
        <w:autoSpaceDE w:val="0"/>
        <w:autoSpaceDN w:val="0"/>
        <w:adjustRightInd w:val="0"/>
        <w:jc w:val="both"/>
        <w:rPr>
          <w:sz w:val="19"/>
          <w:szCs w:val="19"/>
        </w:rPr>
      </w:pPr>
      <w:r>
        <w:rPr>
          <w:rFonts w:eastAsia="Calibri"/>
          <w:sz w:val="19"/>
          <w:szCs w:val="19"/>
          <w:lang w:eastAsia="en-US"/>
        </w:rPr>
        <w:t xml:space="preserve">         </w:t>
      </w:r>
      <w:r>
        <w:rPr>
          <w:sz w:val="19"/>
          <w:szCs w:val="19"/>
        </w:rPr>
        <w:t>В судебном заседании представитель АО «КЗСК «Сармат» - директор Вышинский Г.Л. с нарушением согласился и пояснил, что годовая отчетность была направлена вовремя на бумажном носителе, однако была возвращена, поскольку подается в налоговый орган только в электронном виде. На то момент у него отсутствовала электронная подпись, поскольку он действовал по доверенности.</w:t>
      </w:r>
    </w:p>
    <w:p w:rsidR="00FC247A" w:rsidP="00FC247A">
      <w:pPr>
        <w:autoSpaceDE w:val="0"/>
        <w:autoSpaceDN w:val="0"/>
        <w:adjustRightInd w:val="0"/>
        <w:ind w:firstLine="708"/>
        <w:jc w:val="both"/>
        <w:rPr>
          <w:sz w:val="19"/>
          <w:szCs w:val="19"/>
        </w:rPr>
      </w:pPr>
      <w:r>
        <w:rPr>
          <w:sz w:val="19"/>
          <w:szCs w:val="19"/>
        </w:rPr>
        <w:t>Представитель АО «КЗСК «Сармат» Рогожина В.А., действующая на основании доверенности, в судебном заседании указала, что вины общества нет, поскольку директор приступ</w:t>
      </w:r>
      <w:r>
        <w:rPr>
          <w:sz w:val="19"/>
          <w:szCs w:val="19"/>
        </w:rPr>
        <w:t xml:space="preserve">ил к своим обязанностям </w:t>
      </w:r>
      <w:r w:rsidRPr="00FC247A">
        <w:rPr>
          <w:sz w:val="19"/>
          <w:szCs w:val="19"/>
        </w:rPr>
        <w:t xml:space="preserve">/изъято/ </w:t>
      </w:r>
      <w:r>
        <w:rPr>
          <w:sz w:val="19"/>
          <w:szCs w:val="19"/>
        </w:rPr>
        <w:t xml:space="preserve"> года. Отчет не предоставили в электронном виде, так  как не было электронной подписи, а вовремя предоставленный отчет на бумажном носителе был возращён. Просила суд признать правонарушение малозначительным и производство по делу прекратить, ограничившись устным замечанием.</w:t>
      </w:r>
    </w:p>
    <w:p w:rsidR="00FC247A" w:rsidP="00FC247A">
      <w:pPr>
        <w:ind w:firstLine="567"/>
        <w:jc w:val="both"/>
        <w:rPr>
          <w:sz w:val="19"/>
          <w:szCs w:val="19"/>
        </w:rPr>
      </w:pPr>
      <w:r>
        <w:rPr>
          <w:sz w:val="19"/>
          <w:szCs w:val="19"/>
        </w:rPr>
        <w:t>Выслушав представителей юридического лица, исследовав письменные материалы административного дела, суд приходит к следующему.</w:t>
      </w:r>
    </w:p>
    <w:p w:rsidR="00FC247A" w:rsidP="00FC247A">
      <w:pPr>
        <w:autoSpaceDE w:val="0"/>
        <w:autoSpaceDN w:val="0"/>
        <w:adjustRightInd w:val="0"/>
        <w:ind w:firstLine="540"/>
        <w:jc w:val="both"/>
        <w:rPr>
          <w:rFonts w:eastAsiaTheme="minorHAnsi"/>
          <w:sz w:val="19"/>
          <w:szCs w:val="19"/>
          <w:lang w:eastAsia="en-US"/>
        </w:rPr>
      </w:pPr>
      <w:hyperlink r:id="rId4" w:history="1">
        <w:r>
          <w:rPr>
            <w:rStyle w:val="Hyperlink"/>
            <w:rFonts w:eastAsiaTheme="minorHAnsi"/>
            <w:color w:val="auto"/>
            <w:sz w:val="19"/>
            <w:szCs w:val="19"/>
            <w:u w:val="none"/>
            <w:lang w:eastAsia="en-US"/>
          </w:rPr>
          <w:t>Статья 19.7</w:t>
        </w:r>
      </w:hyperlink>
      <w:r>
        <w:rPr>
          <w:rFonts w:eastAsiaTheme="minorHAnsi"/>
          <w:sz w:val="19"/>
          <w:szCs w:val="19"/>
          <w:lang w:eastAsia="en-US"/>
        </w:rPr>
        <w:t xml:space="preserve">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Pr>
            <w:rStyle w:val="Hyperlink"/>
            <w:rFonts w:eastAsiaTheme="minorHAnsi"/>
            <w:color w:val="auto"/>
            <w:sz w:val="19"/>
            <w:szCs w:val="19"/>
            <w:u w:val="none"/>
            <w:lang w:eastAsia="en-US"/>
          </w:rPr>
          <w:t>статьей 6.16</w:t>
        </w:r>
      </w:hyperlink>
      <w:r>
        <w:rPr>
          <w:rFonts w:eastAsiaTheme="minorHAnsi"/>
          <w:sz w:val="19"/>
          <w:szCs w:val="19"/>
          <w:lang w:eastAsia="en-US"/>
        </w:rPr>
        <w:t xml:space="preserve">, </w:t>
      </w:r>
      <w:hyperlink r:id="rId6" w:history="1">
        <w:r>
          <w:rPr>
            <w:rStyle w:val="Hyperlink"/>
            <w:rFonts w:eastAsiaTheme="minorHAnsi"/>
            <w:color w:val="auto"/>
            <w:sz w:val="19"/>
            <w:szCs w:val="19"/>
            <w:u w:val="none"/>
            <w:lang w:eastAsia="en-US"/>
          </w:rPr>
          <w:t>частью 2 статьи 6.31</w:t>
        </w:r>
      </w:hyperlink>
      <w:r>
        <w:rPr>
          <w:rFonts w:eastAsiaTheme="minorHAnsi"/>
          <w:sz w:val="19"/>
          <w:szCs w:val="19"/>
          <w:lang w:eastAsia="en-US"/>
        </w:rPr>
        <w:t xml:space="preserve">, </w:t>
      </w:r>
      <w:hyperlink r:id="rId7" w:history="1">
        <w:r>
          <w:rPr>
            <w:rStyle w:val="Hyperlink"/>
            <w:rFonts w:eastAsiaTheme="minorHAnsi"/>
            <w:color w:val="auto"/>
            <w:sz w:val="19"/>
            <w:szCs w:val="19"/>
            <w:u w:val="none"/>
            <w:lang w:eastAsia="en-US"/>
          </w:rPr>
          <w:t>частями 1</w:t>
        </w:r>
      </w:hyperlink>
      <w:r>
        <w:rPr>
          <w:rFonts w:eastAsiaTheme="minorHAnsi"/>
          <w:sz w:val="19"/>
          <w:szCs w:val="19"/>
          <w:lang w:eastAsia="en-US"/>
        </w:rPr>
        <w:t xml:space="preserve">, </w:t>
      </w:r>
      <w:hyperlink r:id="rId8" w:history="1">
        <w:r>
          <w:rPr>
            <w:rStyle w:val="Hyperlink"/>
            <w:rFonts w:eastAsiaTheme="minorHAnsi"/>
            <w:color w:val="auto"/>
            <w:sz w:val="19"/>
            <w:szCs w:val="19"/>
            <w:u w:val="none"/>
            <w:lang w:eastAsia="en-US"/>
          </w:rPr>
          <w:t>2</w:t>
        </w:r>
      </w:hyperlink>
      <w:r>
        <w:rPr>
          <w:rFonts w:eastAsiaTheme="minorHAnsi"/>
          <w:sz w:val="19"/>
          <w:szCs w:val="19"/>
          <w:lang w:eastAsia="en-US"/>
        </w:rPr>
        <w:t xml:space="preserve"> и </w:t>
      </w:r>
      <w:hyperlink r:id="rId9" w:history="1">
        <w:r>
          <w:rPr>
            <w:rStyle w:val="Hyperlink"/>
            <w:rFonts w:eastAsiaTheme="minorHAnsi"/>
            <w:color w:val="auto"/>
            <w:sz w:val="19"/>
            <w:szCs w:val="19"/>
            <w:u w:val="none"/>
            <w:lang w:eastAsia="en-US"/>
          </w:rPr>
          <w:t>4 статьи 8.28.1</w:t>
        </w:r>
      </w:hyperlink>
      <w:r>
        <w:rPr>
          <w:rFonts w:eastAsiaTheme="minorHAnsi"/>
          <w:sz w:val="19"/>
          <w:szCs w:val="19"/>
          <w:lang w:eastAsia="en-US"/>
        </w:rPr>
        <w:t xml:space="preserve">, </w:t>
      </w:r>
      <w:hyperlink r:id="rId10" w:history="1">
        <w:r>
          <w:rPr>
            <w:rStyle w:val="Hyperlink"/>
            <w:rFonts w:eastAsiaTheme="minorHAnsi"/>
            <w:color w:val="auto"/>
            <w:sz w:val="19"/>
            <w:szCs w:val="19"/>
            <w:u w:val="none"/>
            <w:lang w:eastAsia="en-US"/>
          </w:rPr>
          <w:t>статьей 8.32.1</w:t>
        </w:r>
      </w:hyperlink>
      <w:r>
        <w:rPr>
          <w:rFonts w:eastAsiaTheme="minorHAnsi"/>
          <w:sz w:val="19"/>
          <w:szCs w:val="19"/>
          <w:lang w:eastAsia="en-US"/>
        </w:rPr>
        <w:t xml:space="preserve">, </w:t>
      </w:r>
      <w:hyperlink r:id="rId11" w:history="1">
        <w:r>
          <w:rPr>
            <w:rStyle w:val="Hyperlink"/>
            <w:rFonts w:eastAsiaTheme="minorHAnsi"/>
            <w:color w:val="auto"/>
            <w:sz w:val="19"/>
            <w:szCs w:val="19"/>
            <w:u w:val="none"/>
            <w:lang w:eastAsia="en-US"/>
          </w:rPr>
          <w:t>частью 1 статьи 8.49</w:t>
        </w:r>
      </w:hyperlink>
      <w:r>
        <w:rPr>
          <w:rFonts w:eastAsiaTheme="minorHAnsi"/>
          <w:sz w:val="19"/>
          <w:szCs w:val="19"/>
          <w:lang w:eastAsia="en-US"/>
        </w:rPr>
        <w:t xml:space="preserve">, </w:t>
      </w:r>
      <w:hyperlink r:id="rId12" w:history="1">
        <w:r>
          <w:rPr>
            <w:rStyle w:val="Hyperlink"/>
            <w:rFonts w:eastAsiaTheme="minorHAnsi"/>
            <w:color w:val="auto"/>
            <w:sz w:val="19"/>
            <w:szCs w:val="19"/>
            <w:u w:val="none"/>
            <w:lang w:eastAsia="en-US"/>
          </w:rPr>
          <w:t>частью 5 статьи 14.5</w:t>
        </w:r>
      </w:hyperlink>
      <w:r>
        <w:rPr>
          <w:rFonts w:eastAsiaTheme="minorHAnsi"/>
          <w:sz w:val="19"/>
          <w:szCs w:val="19"/>
          <w:lang w:eastAsia="en-US"/>
        </w:rPr>
        <w:t xml:space="preserve">, </w:t>
      </w:r>
      <w:hyperlink r:id="rId6" w:history="1">
        <w:r>
          <w:rPr>
            <w:rStyle w:val="Hyperlink"/>
            <w:rFonts w:eastAsiaTheme="minorHAnsi"/>
            <w:color w:val="auto"/>
            <w:sz w:val="19"/>
            <w:szCs w:val="19"/>
            <w:u w:val="none"/>
            <w:lang w:eastAsia="en-US"/>
          </w:rPr>
          <w:t>частью 2 статьи 6.31</w:t>
        </w:r>
      </w:hyperlink>
      <w:r>
        <w:rPr>
          <w:rFonts w:eastAsiaTheme="minorHAnsi"/>
          <w:sz w:val="19"/>
          <w:szCs w:val="19"/>
          <w:lang w:eastAsia="en-US"/>
        </w:rPr>
        <w:t xml:space="preserve">, </w:t>
      </w:r>
      <w:hyperlink r:id="rId13" w:history="1">
        <w:r>
          <w:rPr>
            <w:rStyle w:val="Hyperlink"/>
            <w:rFonts w:eastAsiaTheme="minorHAnsi"/>
            <w:color w:val="auto"/>
            <w:sz w:val="19"/>
            <w:szCs w:val="19"/>
            <w:u w:val="none"/>
            <w:lang w:eastAsia="en-US"/>
          </w:rPr>
          <w:t>частью 4 статьи 14.28</w:t>
        </w:r>
      </w:hyperlink>
      <w:r>
        <w:rPr>
          <w:rFonts w:eastAsiaTheme="minorHAnsi"/>
          <w:sz w:val="19"/>
          <w:szCs w:val="19"/>
          <w:lang w:eastAsia="en-US"/>
        </w:rPr>
        <w:t xml:space="preserve">, </w:t>
      </w:r>
      <w:hyperlink r:id="rId14" w:history="1">
        <w:r>
          <w:rPr>
            <w:rStyle w:val="Hyperlink"/>
            <w:rFonts w:eastAsiaTheme="minorHAnsi"/>
            <w:color w:val="auto"/>
            <w:sz w:val="19"/>
            <w:szCs w:val="19"/>
            <w:u w:val="none"/>
            <w:lang w:eastAsia="en-US"/>
          </w:rPr>
          <w:t>частью 1 статьи 14.46.2</w:t>
        </w:r>
      </w:hyperlink>
      <w:r>
        <w:rPr>
          <w:rFonts w:eastAsiaTheme="minorHAnsi"/>
          <w:sz w:val="19"/>
          <w:szCs w:val="19"/>
          <w:lang w:eastAsia="en-US"/>
        </w:rPr>
        <w:t xml:space="preserve">, </w:t>
      </w:r>
      <w:hyperlink r:id="rId15" w:history="1">
        <w:r>
          <w:rPr>
            <w:rStyle w:val="Hyperlink"/>
            <w:rFonts w:eastAsiaTheme="minorHAnsi"/>
            <w:color w:val="auto"/>
            <w:sz w:val="19"/>
            <w:szCs w:val="19"/>
            <w:u w:val="none"/>
            <w:lang w:eastAsia="en-US"/>
          </w:rPr>
          <w:t>статьями 19.7.1</w:t>
        </w:r>
      </w:hyperlink>
      <w:r>
        <w:rPr>
          <w:rFonts w:eastAsiaTheme="minorHAnsi"/>
          <w:sz w:val="19"/>
          <w:szCs w:val="19"/>
          <w:lang w:eastAsia="en-US"/>
        </w:rPr>
        <w:t xml:space="preserve">, </w:t>
      </w:r>
      <w:hyperlink r:id="rId16" w:history="1">
        <w:r>
          <w:rPr>
            <w:rStyle w:val="Hyperlink"/>
            <w:rFonts w:eastAsiaTheme="minorHAnsi"/>
            <w:color w:val="auto"/>
            <w:sz w:val="19"/>
            <w:szCs w:val="19"/>
            <w:u w:val="none"/>
            <w:lang w:eastAsia="en-US"/>
          </w:rPr>
          <w:t>19.7.2</w:t>
        </w:r>
      </w:hyperlink>
      <w:r>
        <w:rPr>
          <w:rFonts w:eastAsiaTheme="minorHAnsi"/>
          <w:sz w:val="19"/>
          <w:szCs w:val="19"/>
          <w:lang w:eastAsia="en-US"/>
        </w:rPr>
        <w:t xml:space="preserve">, </w:t>
      </w:r>
      <w:hyperlink r:id="rId17" w:history="1">
        <w:r>
          <w:rPr>
            <w:rStyle w:val="Hyperlink"/>
            <w:rFonts w:eastAsiaTheme="minorHAnsi"/>
            <w:color w:val="auto"/>
            <w:sz w:val="19"/>
            <w:szCs w:val="19"/>
            <w:u w:val="none"/>
            <w:lang w:eastAsia="en-US"/>
          </w:rPr>
          <w:t>19.7.2-1</w:t>
        </w:r>
      </w:hyperlink>
      <w:r>
        <w:rPr>
          <w:rFonts w:eastAsiaTheme="minorHAnsi"/>
          <w:sz w:val="19"/>
          <w:szCs w:val="19"/>
          <w:lang w:eastAsia="en-US"/>
        </w:rPr>
        <w:t xml:space="preserve">, </w:t>
      </w:r>
      <w:hyperlink r:id="rId18" w:history="1">
        <w:r>
          <w:rPr>
            <w:rStyle w:val="Hyperlink"/>
            <w:rFonts w:eastAsiaTheme="minorHAnsi"/>
            <w:color w:val="auto"/>
            <w:sz w:val="19"/>
            <w:szCs w:val="19"/>
            <w:u w:val="none"/>
            <w:lang w:eastAsia="en-US"/>
          </w:rPr>
          <w:t>19.7.3</w:t>
        </w:r>
      </w:hyperlink>
      <w:r>
        <w:rPr>
          <w:rFonts w:eastAsiaTheme="minorHAnsi"/>
          <w:sz w:val="19"/>
          <w:szCs w:val="19"/>
          <w:lang w:eastAsia="en-US"/>
        </w:rPr>
        <w:t xml:space="preserve">, </w:t>
      </w:r>
      <w:hyperlink r:id="rId19" w:history="1">
        <w:r>
          <w:rPr>
            <w:rStyle w:val="Hyperlink"/>
            <w:rFonts w:eastAsiaTheme="minorHAnsi"/>
            <w:color w:val="auto"/>
            <w:sz w:val="19"/>
            <w:szCs w:val="19"/>
            <w:u w:val="none"/>
            <w:lang w:eastAsia="en-US"/>
          </w:rPr>
          <w:t>19.7.5</w:t>
        </w:r>
      </w:hyperlink>
      <w:r>
        <w:rPr>
          <w:rFonts w:eastAsiaTheme="minorHAnsi"/>
          <w:sz w:val="19"/>
          <w:szCs w:val="19"/>
          <w:lang w:eastAsia="en-US"/>
        </w:rPr>
        <w:t xml:space="preserve">, </w:t>
      </w:r>
      <w:hyperlink r:id="rId20" w:history="1">
        <w:r>
          <w:rPr>
            <w:rStyle w:val="Hyperlink"/>
            <w:rFonts w:eastAsiaTheme="minorHAnsi"/>
            <w:color w:val="auto"/>
            <w:sz w:val="19"/>
            <w:szCs w:val="19"/>
            <w:u w:val="none"/>
            <w:lang w:eastAsia="en-US"/>
          </w:rPr>
          <w:t>19.7.5-1</w:t>
        </w:r>
      </w:hyperlink>
      <w:r>
        <w:rPr>
          <w:rFonts w:eastAsiaTheme="minorHAnsi"/>
          <w:sz w:val="19"/>
          <w:szCs w:val="19"/>
          <w:lang w:eastAsia="en-US"/>
        </w:rPr>
        <w:t xml:space="preserve">, </w:t>
      </w:r>
      <w:hyperlink r:id="rId21" w:history="1">
        <w:r>
          <w:rPr>
            <w:rStyle w:val="Hyperlink"/>
            <w:rFonts w:eastAsiaTheme="minorHAnsi"/>
            <w:color w:val="auto"/>
            <w:sz w:val="19"/>
            <w:szCs w:val="19"/>
            <w:u w:val="none"/>
            <w:lang w:eastAsia="en-US"/>
          </w:rPr>
          <w:t>19.7.5-2</w:t>
        </w:r>
      </w:hyperlink>
      <w:r>
        <w:rPr>
          <w:rFonts w:eastAsiaTheme="minorHAnsi"/>
          <w:sz w:val="19"/>
          <w:szCs w:val="19"/>
          <w:lang w:eastAsia="en-US"/>
        </w:rPr>
        <w:t xml:space="preserve">, </w:t>
      </w:r>
      <w:hyperlink r:id="rId22" w:history="1">
        <w:r>
          <w:rPr>
            <w:rStyle w:val="Hyperlink"/>
            <w:rFonts w:eastAsiaTheme="minorHAnsi"/>
            <w:color w:val="auto"/>
            <w:sz w:val="19"/>
            <w:szCs w:val="19"/>
            <w:u w:val="none"/>
            <w:lang w:eastAsia="en-US"/>
          </w:rPr>
          <w:t>частью 1 статьи 19.7.5-3</w:t>
        </w:r>
      </w:hyperlink>
      <w:r>
        <w:rPr>
          <w:rFonts w:eastAsiaTheme="minorHAnsi"/>
          <w:sz w:val="19"/>
          <w:szCs w:val="19"/>
          <w:lang w:eastAsia="en-US"/>
        </w:rPr>
        <w:t xml:space="preserve">, </w:t>
      </w:r>
      <w:hyperlink r:id="rId23" w:history="1">
        <w:r>
          <w:rPr>
            <w:rStyle w:val="Hyperlink"/>
            <w:rFonts w:eastAsiaTheme="minorHAnsi"/>
            <w:color w:val="auto"/>
            <w:sz w:val="19"/>
            <w:szCs w:val="19"/>
            <w:u w:val="none"/>
            <w:lang w:eastAsia="en-US"/>
          </w:rPr>
          <w:t>частью 1 статьи 19.7.5-4</w:t>
        </w:r>
      </w:hyperlink>
      <w:r>
        <w:rPr>
          <w:rFonts w:eastAsiaTheme="minorHAnsi"/>
          <w:sz w:val="19"/>
          <w:szCs w:val="19"/>
          <w:lang w:eastAsia="en-US"/>
        </w:rPr>
        <w:t xml:space="preserve">, статьями </w:t>
      </w:r>
      <w:hyperlink r:id="rId24" w:history="1">
        <w:r>
          <w:rPr>
            <w:rStyle w:val="Hyperlink"/>
            <w:rFonts w:eastAsiaTheme="minorHAnsi"/>
            <w:color w:val="auto"/>
            <w:sz w:val="19"/>
            <w:szCs w:val="19"/>
            <w:u w:val="none"/>
            <w:lang w:eastAsia="en-US"/>
          </w:rPr>
          <w:t>19.7.7</w:t>
        </w:r>
      </w:hyperlink>
      <w:r>
        <w:rPr>
          <w:rFonts w:eastAsiaTheme="minorHAnsi"/>
          <w:sz w:val="19"/>
          <w:szCs w:val="19"/>
          <w:lang w:eastAsia="en-US"/>
        </w:rPr>
        <w:t xml:space="preserve">, </w:t>
      </w:r>
      <w:hyperlink r:id="rId25" w:history="1">
        <w:r>
          <w:rPr>
            <w:rStyle w:val="Hyperlink"/>
            <w:rFonts w:eastAsiaTheme="minorHAnsi"/>
            <w:color w:val="auto"/>
            <w:sz w:val="19"/>
            <w:szCs w:val="19"/>
            <w:u w:val="none"/>
            <w:lang w:eastAsia="en-US"/>
          </w:rPr>
          <w:t>19.7.8</w:t>
        </w:r>
      </w:hyperlink>
      <w:r>
        <w:rPr>
          <w:rFonts w:eastAsiaTheme="minorHAnsi"/>
          <w:sz w:val="19"/>
          <w:szCs w:val="19"/>
          <w:lang w:eastAsia="en-US"/>
        </w:rPr>
        <w:t xml:space="preserve">, </w:t>
      </w:r>
      <w:hyperlink r:id="rId26" w:history="1">
        <w:r>
          <w:rPr>
            <w:rStyle w:val="Hyperlink"/>
            <w:rFonts w:eastAsiaTheme="minorHAnsi"/>
            <w:color w:val="auto"/>
            <w:sz w:val="19"/>
            <w:szCs w:val="19"/>
            <w:u w:val="none"/>
            <w:lang w:eastAsia="en-US"/>
          </w:rPr>
          <w:t>19.7.9</w:t>
        </w:r>
      </w:hyperlink>
      <w:r>
        <w:rPr>
          <w:rFonts w:eastAsiaTheme="minorHAnsi"/>
          <w:sz w:val="19"/>
          <w:szCs w:val="19"/>
          <w:lang w:eastAsia="en-US"/>
        </w:rPr>
        <w:t xml:space="preserve">, </w:t>
      </w:r>
      <w:hyperlink r:id="rId27" w:history="1">
        <w:r>
          <w:rPr>
            <w:rStyle w:val="Hyperlink"/>
            <w:rFonts w:eastAsiaTheme="minorHAnsi"/>
            <w:color w:val="auto"/>
            <w:sz w:val="19"/>
            <w:szCs w:val="19"/>
            <w:u w:val="none"/>
            <w:lang w:eastAsia="en-US"/>
          </w:rPr>
          <w:t>19.7.12</w:t>
        </w:r>
      </w:hyperlink>
      <w:r>
        <w:rPr>
          <w:rFonts w:eastAsiaTheme="minorHAnsi"/>
          <w:sz w:val="19"/>
          <w:szCs w:val="19"/>
          <w:lang w:eastAsia="en-US"/>
        </w:rPr>
        <w:t xml:space="preserve">, </w:t>
      </w:r>
      <w:hyperlink r:id="rId28" w:history="1">
        <w:r>
          <w:rPr>
            <w:rStyle w:val="Hyperlink"/>
            <w:rFonts w:eastAsiaTheme="minorHAnsi"/>
            <w:color w:val="auto"/>
            <w:sz w:val="19"/>
            <w:szCs w:val="19"/>
            <w:u w:val="none"/>
            <w:lang w:eastAsia="en-US"/>
          </w:rPr>
          <w:t>19.7.13</w:t>
        </w:r>
      </w:hyperlink>
      <w:r>
        <w:rPr>
          <w:rFonts w:eastAsiaTheme="minorHAnsi"/>
          <w:sz w:val="19"/>
          <w:szCs w:val="19"/>
          <w:lang w:eastAsia="en-US"/>
        </w:rPr>
        <w:t xml:space="preserve">, </w:t>
      </w:r>
      <w:hyperlink r:id="rId29" w:history="1">
        <w:r>
          <w:rPr>
            <w:rStyle w:val="Hyperlink"/>
            <w:rFonts w:eastAsiaTheme="minorHAnsi"/>
            <w:color w:val="auto"/>
            <w:sz w:val="19"/>
            <w:szCs w:val="19"/>
            <w:u w:val="none"/>
            <w:lang w:eastAsia="en-US"/>
          </w:rPr>
          <w:t>19.7.14</w:t>
        </w:r>
      </w:hyperlink>
      <w:r>
        <w:rPr>
          <w:rFonts w:eastAsiaTheme="minorHAnsi"/>
          <w:sz w:val="19"/>
          <w:szCs w:val="19"/>
          <w:lang w:eastAsia="en-US"/>
        </w:rPr>
        <w:t xml:space="preserve">, </w:t>
      </w:r>
      <w:hyperlink r:id="rId30" w:history="1">
        <w:r>
          <w:rPr>
            <w:rStyle w:val="Hyperlink"/>
            <w:rFonts w:eastAsiaTheme="minorHAnsi"/>
            <w:color w:val="auto"/>
            <w:sz w:val="19"/>
            <w:szCs w:val="19"/>
            <w:u w:val="none"/>
            <w:lang w:eastAsia="en-US"/>
          </w:rPr>
          <w:t>19.8</w:t>
        </w:r>
      </w:hyperlink>
      <w:r>
        <w:rPr>
          <w:rFonts w:eastAsiaTheme="minorHAnsi"/>
          <w:sz w:val="19"/>
          <w:szCs w:val="19"/>
          <w:lang w:eastAsia="en-US"/>
        </w:rPr>
        <w:t xml:space="preserve">, </w:t>
      </w:r>
      <w:hyperlink r:id="rId31" w:history="1">
        <w:r>
          <w:rPr>
            <w:rStyle w:val="Hyperlink"/>
            <w:rFonts w:eastAsiaTheme="minorHAnsi"/>
            <w:color w:val="auto"/>
            <w:sz w:val="19"/>
            <w:szCs w:val="19"/>
            <w:u w:val="none"/>
            <w:lang w:eastAsia="en-US"/>
          </w:rPr>
          <w:t>19.8.3</w:t>
        </w:r>
      </w:hyperlink>
      <w:r>
        <w:rPr>
          <w:rFonts w:eastAsiaTheme="minorHAnsi"/>
          <w:sz w:val="19"/>
          <w:szCs w:val="19"/>
          <w:lang w:eastAsia="en-US"/>
        </w:rPr>
        <w:t xml:space="preserve"> настоящего Кодекса.</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Основанием для составления протокола об административном правонарушении в отношении АО «КЗСК «Сармат» послужило то, что общество в срок до 31.03.2023 не предоставило в налоговый орган обязательный экземпляр годовой бухгалтерской (финансовой) отчетности за 2022 год.</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В соответствии с пунктом 1 статьи 14 Федерального закона Российской Федерации от 6 декабря 2011 года N 402-ФЗ "О бухгалтерском учете" (далее - Закон о бухгалтерском учете) годовая бухгалтерская (финансовая) отчетность состоит из бухгалтерского баланса, отчета о финансовых результатах и приложений к ним.</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 (пункт 3 статьи 18 Закона о бухгалтерском учете).</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Пунктом 2 статьи 18 Закона о бухгалтерском учете установлено, что государственный информационный ресурс формируется и ведется федеральным органом исполнительной власти, уполномоченным по контролю и надзору в области налогов и сборов.</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Таким образом, налоговый орган по месту нахождения экономического субъекта, в силу прямого указания закона осуществляет также деятельность по формированию и ведению государственного информационного ресурса бухгалтерской (финансовой) отчетности (далее - ГИРБО).</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 xml:space="preserve">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 Центральный банк Российской Федерации; религиозные организации; организации, представляющие бухгалтерскую (финансовую) отчетность в Центральный банк Российской Федерации;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w:t>
      </w:r>
      <w:r>
        <w:rPr>
          <w:rFonts w:eastAsiaTheme="minorHAnsi"/>
          <w:sz w:val="19"/>
          <w:szCs w:val="19"/>
          <w:lang w:eastAsia="en-US"/>
        </w:rPr>
        <w:t>Федерации; организации в случаях, определенных Постановлением Правительства РФ от 22 января 2020 года N 35 (утратил силу с 1 января 2023 года).</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Следовательно, АО «КЗСК «Сармат» является организацией, которая обязана размещать свою бухгалтерскую (финансовую) отчетность в ГИРБО, а потому положение части 5.1 пункта 1 статьи 23 Налогового кодекса Российской Федерации, обязывающее представлять в налоговый орган по месту нахождения организации годовую бухгалтерскую (финансовую) отчетность только те организации, у которых отсутствует обязанность представлять такую отчетность в государственный информационный ресурс бухгалтерской (финансовой) отчетности, на данную организацию не распространяется.</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Изложенное позволяет прийти к выводу о том, что непредставление или несвоевременное представление в налоговый орган по месту нахождения экономического субъекта сведений (информации), представление которых предусмотрено законом и необходимо для осуществления этим органом его законной деятельности, в данном случае налогового органа по формированию и ведению государственного информационного ресурса бухгалтерской (финансовой) отчетности, охватывается составом административного правонарушения, предусмотренного статьей 19.7 Кодекса Российской Федерации об административных правонарушениях.</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Как следует из материалов дела, государственная регистрация юридического лица – АО «КЗСК «Сармат» осуществлена 12.11.2014 года. Согласно выписке из ЕГРЮЛ, Вышинский Г.Л. является директором АО «КЗСК «Сармат» с 26.05.2023, что также подтверждается приказом № 16 от 26.05.2023 (л.д.9-15,20-25).</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Согласно квитанции о приеме налоговой декларации (расчета) в электронном виде, годовая бухгалтерская (финансовая) отчетность за предшествующий 2022 календарный год АО «КЗСК «Сармат» предоставлена 29.05.2023, то есть с нарушением установленного срока (не позднее 31 марта 2023 года).</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Вина АО «КЗСК «Сармат» в указанном правонарушении подтверждается представленными доказательствами: протоколом об административном правонарушении №</w:t>
      </w:r>
      <w:r w:rsidRPr="00FC247A">
        <w:rPr>
          <w:sz w:val="18"/>
          <w:szCs w:val="18"/>
        </w:rPr>
        <w:t xml:space="preserve">/изъято/ </w:t>
      </w:r>
      <w:r>
        <w:rPr>
          <w:rFonts w:eastAsiaTheme="minorHAnsi"/>
          <w:sz w:val="19"/>
          <w:szCs w:val="19"/>
          <w:lang w:eastAsia="en-US"/>
        </w:rPr>
        <w:t xml:space="preserve">от </w:t>
      </w:r>
      <w:r w:rsidRPr="00FC247A">
        <w:rPr>
          <w:sz w:val="18"/>
          <w:szCs w:val="18"/>
        </w:rPr>
        <w:t xml:space="preserve">/изъято/ </w:t>
      </w:r>
      <w:r>
        <w:rPr>
          <w:rFonts w:eastAsiaTheme="minorHAnsi"/>
          <w:sz w:val="19"/>
          <w:szCs w:val="19"/>
          <w:lang w:eastAsia="en-US"/>
        </w:rPr>
        <w:t>г. (л.д.1-3); квитанцией о приеме налоговой декларации (расчета) в электронном виде (л.д.4), выпиской из ЕГРЮЛ (л.д.9-14, 20-25), копией приказа (л.д.15).</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Оценивая в совокупности представленные доказательства, мировой судья приходит к выводу о том, что в действиях АО «КЗСК «Сармат» имеется состав административного правонарушения, предусмотренного ст.19.7 КоАП РФ.</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 xml:space="preserve">Оснований для признания совершенного правонарушения малозначительным и освобождения АО «КЗСК «Сармат» от административной ответственности на основании статьи 2.9 Кодекса Российской Федерации об административных правонарушениях, вопреки доводам представителя Рогожиной В.А., суд не усматривает. </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Данное полномочие является правом, но не обязанностью суда, его реализация зависит от установленных по делу обстоятельств.</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Как разъяснил Пленум Верховного Суда Российской Федерации в пункте 21 постановления от 24.03.2005 N 5 (ред. от 23.12.2021) N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Исключительных обстоятельств, связанных с характером совершенного административного правонарушения и его последствиями, в силу которых возможно применение статьи 2.9 Кодекса Российской Федерации об административных правонарушениях, не установлено, поскольку обстоятельства совершения административного правонарушения свидетельствуют о наличии существующей угрозы охраняемым общественным отношениям, которая в данном случае состоит в несоблюдении требований законодательства, направленного на обеспечение правопорядка в области своевременного представления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Ссылки представителей юридического лица на отсутствие электронной подписи у директора не свидетельствуют об отсутствии события административного правонарушения.</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Таким образом, оснований для прекращения производства по делу не имеется.</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При назначении АО «КЗСК «Сармат» наказания мировой судья учитывает характер совершенного административного правонарушения, имущественное положение.</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Обстоятельств, смягчающих и отягчающих административную ответственность АО «КЗСК «Сармат», мировым судьей не установлено.</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Санкция ст.19.7 КоАП РФ предусматривает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Учитывая указанные обстоятельства, мировой судья считает возможным назначить АО «КЗСК «Сармат» административное наказание в виде предупреждения.</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На основании изложенного, руководствуясь ст. 3.4, 4.1-4.3, 23.1, 29.10 КоАП РФ, мировой судья,</w:t>
      </w:r>
    </w:p>
    <w:p w:rsidR="00FC247A" w:rsidP="00FC247A">
      <w:pPr>
        <w:autoSpaceDE w:val="0"/>
        <w:autoSpaceDN w:val="0"/>
        <w:adjustRightInd w:val="0"/>
        <w:ind w:firstLine="540"/>
        <w:jc w:val="center"/>
        <w:rPr>
          <w:rFonts w:eastAsiaTheme="minorHAnsi"/>
          <w:sz w:val="19"/>
          <w:szCs w:val="19"/>
          <w:lang w:eastAsia="en-US"/>
        </w:rPr>
      </w:pPr>
      <w:r>
        <w:rPr>
          <w:rFonts w:eastAsiaTheme="minorHAnsi"/>
          <w:sz w:val="19"/>
          <w:szCs w:val="19"/>
          <w:lang w:eastAsia="en-US"/>
        </w:rPr>
        <w:t>ПОСТАНОВИЛ:</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Признать Акционерное общество «Керченский завод строительной керамики «Сармат» виновным в совершении административного правонарушения, предусмотренного ст.19.7 Кодекса РФ об административных правонарушениях и подвергнуть его административному наказанию в виде предупреждения.</w:t>
      </w: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FC247A" w:rsidP="00FC247A">
      <w:pPr>
        <w:autoSpaceDE w:val="0"/>
        <w:autoSpaceDN w:val="0"/>
        <w:adjustRightInd w:val="0"/>
        <w:ind w:firstLine="540"/>
        <w:jc w:val="both"/>
        <w:rPr>
          <w:rFonts w:eastAsiaTheme="minorHAnsi"/>
          <w:sz w:val="19"/>
          <w:szCs w:val="19"/>
          <w:lang w:eastAsia="en-US"/>
        </w:rPr>
      </w:pPr>
    </w:p>
    <w:p w:rsidR="00FC247A" w:rsidP="00FC247A">
      <w:pPr>
        <w:autoSpaceDE w:val="0"/>
        <w:autoSpaceDN w:val="0"/>
        <w:adjustRightInd w:val="0"/>
        <w:ind w:firstLine="540"/>
        <w:jc w:val="both"/>
        <w:rPr>
          <w:rFonts w:eastAsiaTheme="minorHAnsi"/>
          <w:sz w:val="19"/>
          <w:szCs w:val="19"/>
          <w:lang w:eastAsia="en-US"/>
        </w:rPr>
      </w:pPr>
      <w:r>
        <w:rPr>
          <w:rFonts w:eastAsiaTheme="minorHAnsi"/>
          <w:sz w:val="19"/>
          <w:szCs w:val="19"/>
          <w:lang w:eastAsia="en-US"/>
        </w:rPr>
        <w:t>Мировой судья</w:t>
      </w:r>
      <w:r>
        <w:rPr>
          <w:rFonts w:eastAsiaTheme="minorHAnsi"/>
          <w:sz w:val="19"/>
          <w:szCs w:val="19"/>
          <w:lang w:eastAsia="en-US"/>
        </w:rPr>
        <w:tab/>
      </w:r>
      <w:r>
        <w:rPr>
          <w:rFonts w:eastAsiaTheme="minorHAnsi"/>
          <w:sz w:val="19"/>
          <w:szCs w:val="19"/>
          <w:lang w:eastAsia="en-US"/>
        </w:rPr>
        <w:tab/>
      </w:r>
      <w:r>
        <w:rPr>
          <w:rFonts w:eastAsiaTheme="minorHAnsi"/>
          <w:sz w:val="19"/>
          <w:szCs w:val="19"/>
          <w:lang w:eastAsia="en-US"/>
        </w:rPr>
        <w:tab/>
      </w:r>
      <w:r>
        <w:rPr>
          <w:rFonts w:eastAsiaTheme="minorHAnsi"/>
          <w:sz w:val="19"/>
          <w:szCs w:val="19"/>
          <w:lang w:eastAsia="en-US"/>
        </w:rPr>
        <w:tab/>
      </w:r>
      <w:r>
        <w:rPr>
          <w:rFonts w:eastAsiaTheme="minorHAnsi"/>
          <w:sz w:val="19"/>
          <w:szCs w:val="19"/>
          <w:lang w:eastAsia="en-US"/>
        </w:rPr>
        <w:tab/>
        <w:t xml:space="preserve">                   Полищук Е.Д.</w:t>
      </w:r>
    </w:p>
    <w:p w:rsidR="00FC247A" w:rsidP="00FC247A">
      <w:pPr>
        <w:autoSpaceDE w:val="0"/>
        <w:autoSpaceDN w:val="0"/>
        <w:adjustRightInd w:val="0"/>
        <w:ind w:firstLine="540"/>
        <w:jc w:val="both"/>
        <w:rPr>
          <w:rFonts w:eastAsiaTheme="minorHAnsi"/>
          <w:sz w:val="20"/>
          <w:szCs w:val="20"/>
          <w:lang w:eastAsia="en-US"/>
        </w:rPr>
      </w:pPr>
    </w:p>
    <w:p w:rsidR="00FC247A" w:rsidP="00FC247A">
      <w:pPr>
        <w:autoSpaceDE w:val="0"/>
        <w:autoSpaceDN w:val="0"/>
        <w:adjustRightInd w:val="0"/>
        <w:ind w:firstLine="540"/>
        <w:jc w:val="both"/>
        <w:rPr>
          <w:rFonts w:eastAsiaTheme="minorHAnsi"/>
          <w:sz w:val="20"/>
          <w:szCs w:val="20"/>
          <w:lang w:eastAsia="en-US"/>
        </w:rPr>
      </w:pPr>
    </w:p>
    <w:p w:rsidR="00FC247A" w:rsidP="00FC247A">
      <w:pPr>
        <w:autoSpaceDE w:val="0"/>
        <w:autoSpaceDN w:val="0"/>
        <w:adjustRightInd w:val="0"/>
        <w:ind w:firstLine="540"/>
        <w:jc w:val="both"/>
        <w:rPr>
          <w:rFonts w:eastAsiaTheme="minorHAnsi"/>
          <w:sz w:val="20"/>
          <w:szCs w:val="20"/>
          <w:lang w:eastAsia="en-US"/>
        </w:rPr>
      </w:pPr>
    </w:p>
    <w:p w:rsidR="00FC247A" w:rsidP="00FC247A">
      <w:pPr>
        <w:autoSpaceDE w:val="0"/>
        <w:autoSpaceDN w:val="0"/>
        <w:adjustRightInd w:val="0"/>
        <w:ind w:firstLine="540"/>
        <w:jc w:val="both"/>
        <w:rPr>
          <w:rFonts w:eastAsiaTheme="minorHAnsi"/>
          <w:sz w:val="20"/>
          <w:szCs w:val="20"/>
          <w:lang w:eastAsia="en-US"/>
        </w:rPr>
      </w:pPr>
    </w:p>
    <w:p w:rsidR="00B157A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9C"/>
    <w:rsid w:val="00B157A1"/>
    <w:rsid w:val="00B7509C"/>
    <w:rsid w:val="00FC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7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C24E96310842FB0EC41BDC9F387EC863802876E3EBE2A7973DE407446B1085454ACD8DA6FC0A742EEBE13B53AF9A406A80931B1EE5y3s1Q" TargetMode="External" /><Relationship Id="rId11" Type="http://schemas.openxmlformats.org/officeDocument/2006/relationships/hyperlink" Target="consultantplus://offline/ref=5AC24E96310842FB0EC41BDC9F387EC863802876E3EBE2A7973DE407446B1085454ACD82A8FC08742EEBE13B53AF9A406A80931B1EE5y3s1Q" TargetMode="External" /><Relationship Id="rId12" Type="http://schemas.openxmlformats.org/officeDocument/2006/relationships/hyperlink" Target="consultantplus://offline/ref=5AC24E96310842FB0EC41BDC9F387EC863802876E3EBE2A7973DE407446B1085454ACD8DA2F10F742EEBE13B53AF9A406A80931B1EE5y3s1Q" TargetMode="External" /><Relationship Id="rId13" Type="http://schemas.openxmlformats.org/officeDocument/2006/relationships/hyperlink" Target="consultantplus://offline/ref=5AC24E96310842FB0EC41BDC9F387EC863802876E3EBE2A7973DE407446B1085454ACD88A0FF03742EEBE13B53AF9A406A80931B1EE5y3s1Q" TargetMode="External" /><Relationship Id="rId14" Type="http://schemas.openxmlformats.org/officeDocument/2006/relationships/hyperlink" Target="consultantplus://offline/ref=5AC24E96310842FB0EC41BDC9F387EC863802876E3EBE2A7973DE407446B1085454ACD8DA8FF02742EEBE13B53AF9A406A80931B1EE5y3s1Q" TargetMode="External" /><Relationship Id="rId15" Type="http://schemas.openxmlformats.org/officeDocument/2006/relationships/hyperlink" Target="consultantplus://offline/ref=5AC24E96310842FB0EC41BDC9F387EC863802876E3EBE2A7973DE407446B1085454ACD8DA8F0002B2BFEF0635CAF865E699D8F191CyEs6Q" TargetMode="External" /><Relationship Id="rId16" Type="http://schemas.openxmlformats.org/officeDocument/2006/relationships/hyperlink" Target="consultantplus://offline/ref=5AC24E96310842FB0EC41BDC9F387EC863802876E3EBE2A7973DE407446B1085454ACD8BA0FD08742EEBE13B53AF9A406A80931B1EE5y3s1Q" TargetMode="External" /><Relationship Id="rId17" Type="http://schemas.openxmlformats.org/officeDocument/2006/relationships/hyperlink" Target="consultantplus://offline/ref=5AC24E96310842FB0EC41BDC9F387EC863802876E3EBE2A7973DE407446B1085454ACD8FA2FF0F742EEBE13B53AF9A406A80931B1EE5y3s1Q" TargetMode="External" /><Relationship Id="rId18" Type="http://schemas.openxmlformats.org/officeDocument/2006/relationships/hyperlink" Target="consultantplus://offline/ref=5AC24E96310842FB0EC41BDC9F387EC863802876E3EBE2A7973DE407446B1085454ACD8BA2F108742EEBE13B53AF9A406A80931B1EE5y3s1Q" TargetMode="External" /><Relationship Id="rId19" Type="http://schemas.openxmlformats.org/officeDocument/2006/relationships/hyperlink" Target="consultantplus://offline/ref=5AC24E96310842FB0EC41BDC9F387EC863802876E3EBE2A7973DE407446B1085454ACD88A1FE0E742EEBE13B53AF9A406A80931B1EE5y3s1Q" TargetMode="External" /><Relationship Id="rId2" Type="http://schemas.openxmlformats.org/officeDocument/2006/relationships/webSettings" Target="webSettings.xml" /><Relationship Id="rId20" Type="http://schemas.openxmlformats.org/officeDocument/2006/relationships/hyperlink" Target="consultantplus://offline/ref=5AC24E96310842FB0EC41BDC9F387EC863802876E3EBE2A7973DE407446B1085454ACD88A2FB0B742EEBE13B53AF9A406A80931B1EE5y3s1Q" TargetMode="External" /><Relationship Id="rId21" Type="http://schemas.openxmlformats.org/officeDocument/2006/relationships/hyperlink" Target="consultantplus://offline/ref=5AC24E96310842FB0EC41BDC9F387EC863802876E3EBE2A7973DE407446B1085454ACD89A8F80A742EEBE13B53AF9A406A80931B1EE5y3s1Q" TargetMode="External" /><Relationship Id="rId22" Type="http://schemas.openxmlformats.org/officeDocument/2006/relationships/hyperlink" Target="consultantplus://offline/ref=5AC24E96310842FB0EC41BDC9F387EC863802876E3EBE2A7973DE407446B1085454ACD83A3F90F742EEBE13B53AF9A406A80931B1EE5y3s1Q" TargetMode="External" /><Relationship Id="rId23" Type="http://schemas.openxmlformats.org/officeDocument/2006/relationships/hyperlink" Target="consultantplus://offline/ref=5AC24E96310842FB0EC41BDC9F387EC863802876E3EBE2A7973DE407446B1085454ACD83A3FA09742EEBE13B53AF9A406A80931B1EE5y3s1Q" TargetMode="External" /><Relationship Id="rId24" Type="http://schemas.openxmlformats.org/officeDocument/2006/relationships/hyperlink" Target="consultantplus://offline/ref=5AC24E96310842FB0EC41BDC9F387EC863802876E3EBE2A7973DE407446B1085454ACD89A8F90D742EEBE13B53AF9A406A80931B1EE5y3s1Q" TargetMode="External" /><Relationship Id="rId25" Type="http://schemas.openxmlformats.org/officeDocument/2006/relationships/hyperlink" Target="consultantplus://offline/ref=5AC24E96310842FB0EC41BDC9F387EC863802876E3EBE2A7973DE407446B1085454ACD8EA7F809742EEBE13B53AF9A406A80931B1EE5y3s1Q" TargetMode="External" /><Relationship Id="rId26" Type="http://schemas.openxmlformats.org/officeDocument/2006/relationships/hyperlink" Target="consultantplus://offline/ref=5AC24E96310842FB0EC41BDC9F387EC863802876E3EBE2A7973DE407446B1085454ACD8FA0F102742EEBE13B53AF9A406A80931B1EE5y3s1Q" TargetMode="External" /><Relationship Id="rId27" Type="http://schemas.openxmlformats.org/officeDocument/2006/relationships/hyperlink" Target="consultantplus://offline/ref=5AC24E96310842FB0EC41BDC9F387EC863802876E3EBE2A7973DE407446B1085454ACD8CA7FC0C742EEBE13B53AF9A406A80931B1EE5y3s1Q" TargetMode="External" /><Relationship Id="rId28" Type="http://schemas.openxmlformats.org/officeDocument/2006/relationships/hyperlink" Target="consultantplus://offline/ref=5AC24E96310842FB0EC41BDC9F387EC863802876E3EBE2A7973DE407446B1085454ACD8DA6FA09742EEBE13B53AF9A406A80931B1EE5y3s1Q" TargetMode="External" /><Relationship Id="rId29" Type="http://schemas.openxmlformats.org/officeDocument/2006/relationships/hyperlink" Target="consultantplus://offline/ref=5AC24E96310842FB0EC41BDC9F387EC863802876E3EBE2A7973DE407446B1085454ACD82A1FD0C742EEBE13B53AF9A406A80931B1EE5y3s1Q" TargetMode="External" /><Relationship Id="rId3" Type="http://schemas.openxmlformats.org/officeDocument/2006/relationships/fontTable" Target="fontTable.xml" /><Relationship Id="rId30" Type="http://schemas.openxmlformats.org/officeDocument/2006/relationships/hyperlink" Target="consultantplus://offline/ref=5AC24E96310842FB0EC41BDC9F387EC863802876E3EBE2A7973DE407446B1085454ACD8BA0F90D7D7DB1F13F1AF8955C689D8D1A00E530EAy0sDQ" TargetMode="External" /><Relationship Id="rId31" Type="http://schemas.openxmlformats.org/officeDocument/2006/relationships/hyperlink" Target="consultantplus://offline/ref=5AC24E96310842FB0EC41BDC9F387EC863802876E3EBE2A7973DE407446B1085454ACD8FA4FA0C742EEBE13B53AF9A406A80931B1EE5y3s1Q" TargetMode="Externa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54E2C5D16AF72AE9E37CB425DB40D89127295B1A8212D2134F5C9C5BB6FBD113C86980A5AD234DD649DFCF96F4C498246F2F86E0EB8BE7CDK2RCQ" TargetMode="External" /><Relationship Id="rId5" Type="http://schemas.openxmlformats.org/officeDocument/2006/relationships/hyperlink" Target="consultantplus://offline/ref=5AC24E96310842FB0EC41BDC9F387EC863802876E3EBE2A7973DE407446B1085454ACD89A7FD0B742EEBE13B53AF9A406A80931B1EE5y3s1Q" TargetMode="External" /><Relationship Id="rId6" Type="http://schemas.openxmlformats.org/officeDocument/2006/relationships/hyperlink" Target="consultantplus://offline/ref=5AC24E96310842FB0EC41BDC9F387EC863802876E3EBE2A7973DE407446B1085454ACD8FA2FB0E742EEBE13B53AF9A406A80931B1EE5y3s1Q" TargetMode="External" /><Relationship Id="rId7" Type="http://schemas.openxmlformats.org/officeDocument/2006/relationships/hyperlink" Target="consultantplus://offline/ref=5AC24E96310842FB0EC41BDC9F387EC863802876E3EBE2A7973DE407446B1085454ACD8FA6FF0C742EEBE13B53AF9A406A80931B1EE5y3s1Q" TargetMode="External" /><Relationship Id="rId8" Type="http://schemas.openxmlformats.org/officeDocument/2006/relationships/hyperlink" Target="consultantplus://offline/ref=5AC24E96310842FB0EC41BDC9F387EC863802876E3EBE2A7973DE407446B1085454ACD8FA6FF02742EEBE13B53AF9A406A80931B1EE5y3s1Q" TargetMode="External" /><Relationship Id="rId9" Type="http://schemas.openxmlformats.org/officeDocument/2006/relationships/hyperlink" Target="consultantplus://offline/ref=5AC24E96310842FB0EC41BDC9F387EC863802876E3EBE2A7973DE407446B1085454ACD8FA6F008742EEBE13B53AF9A406A80931B1EE5y3s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