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47FDA" w:rsidP="00D5230F" w14:paraId="6AF73E10" w14:textId="07AE8E43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C125B7">
        <w:rPr>
          <w:sz w:val="28"/>
          <w:szCs w:val="28"/>
        </w:rPr>
        <w:t>121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D1445A" w:rsidRPr="00347FD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D1445A" w:rsidRPr="00347FDA" w:rsidP="00063F3D" w14:paraId="3D5C3747" w14:textId="1809BCB7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347FDA" w:rsidR="00215F13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июня</w:t>
      </w:r>
      <w:r w:rsidRPr="00347FD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>
        <w:rPr>
          <w:sz w:val="28"/>
          <w:szCs w:val="28"/>
        </w:rPr>
        <w:t xml:space="preserve">     г. Керчь </w:t>
      </w:r>
    </w:p>
    <w:p w:rsidR="00063F3D" w:rsidRPr="00347FDA" w:rsidP="00063F3D" w14:paraId="21DA6248" w14:textId="77777777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49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70FEFB0F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Немченко </w:t>
      </w:r>
      <w:r w:rsidR="00002BB6">
        <w:rPr>
          <w:sz w:val="28"/>
          <w:szCs w:val="28"/>
        </w:rPr>
        <w:t>А.А.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002BB6">
        <w:rPr>
          <w:b/>
          <w:sz w:val="28"/>
          <w:szCs w:val="28"/>
        </w:rPr>
        <w:t>/изъято/</w:t>
      </w:r>
    </w:p>
    <w:p w:rsidR="001742F7" w:rsidRPr="00347FDA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2A1800" w:rsidRPr="00347FDA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55339E" w:rsidRPr="00347FDA" w:rsidP="0012437B" w14:paraId="242F1252" w14:textId="5483F775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002BB6">
        <w:rPr>
          <w:b/>
          <w:sz w:val="28"/>
          <w:szCs w:val="28"/>
        </w:rPr>
        <w:t>/изъято/</w:t>
      </w:r>
      <w:r w:rsidR="00002BB6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C125B7">
        <w:rPr>
          <w:sz w:val="28"/>
          <w:szCs w:val="28"/>
        </w:rPr>
        <w:t>03</w:t>
      </w:r>
      <w:r w:rsidRPr="00347FDA" w:rsidR="00215F13">
        <w:rPr>
          <w:sz w:val="28"/>
          <w:szCs w:val="28"/>
        </w:rPr>
        <w:t>.</w:t>
      </w:r>
      <w:r w:rsidR="00C125B7">
        <w:rPr>
          <w:sz w:val="28"/>
          <w:szCs w:val="28"/>
        </w:rPr>
        <w:t>06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, </w:t>
      </w:r>
      <w:r w:rsidR="00C125B7">
        <w:rPr>
          <w:sz w:val="28"/>
          <w:szCs w:val="28"/>
        </w:rPr>
        <w:t>03</w:t>
      </w:r>
      <w:r w:rsidRPr="00347FDA" w:rsidR="00215F13">
        <w:rPr>
          <w:sz w:val="28"/>
          <w:szCs w:val="28"/>
        </w:rPr>
        <w:t xml:space="preserve"> </w:t>
      </w:r>
      <w:r w:rsidR="00C125B7">
        <w:rPr>
          <w:sz w:val="28"/>
          <w:szCs w:val="28"/>
        </w:rPr>
        <w:t>июня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C125B7">
        <w:rPr>
          <w:sz w:val="28"/>
          <w:szCs w:val="28"/>
        </w:rPr>
        <w:t>13</w:t>
      </w:r>
      <w:r w:rsidRPr="00347FDA" w:rsidR="00215F13">
        <w:rPr>
          <w:sz w:val="28"/>
          <w:szCs w:val="28"/>
        </w:rPr>
        <w:t xml:space="preserve"> часов </w:t>
      </w:r>
      <w:r w:rsidR="00C125B7">
        <w:rPr>
          <w:sz w:val="28"/>
          <w:szCs w:val="28"/>
        </w:rPr>
        <w:t>00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="000C17A6">
        <w:rPr>
          <w:sz w:val="28"/>
          <w:szCs w:val="28"/>
        </w:rPr>
        <w:t xml:space="preserve">гражданин </w:t>
      </w:r>
      <w:r w:rsidRPr="00A66BB4" w:rsidR="00A66BB4">
        <w:rPr>
          <w:sz w:val="28"/>
          <w:szCs w:val="28"/>
        </w:rPr>
        <w:t xml:space="preserve">Немченко </w:t>
      </w:r>
      <w:r w:rsidR="00002BB6">
        <w:rPr>
          <w:sz w:val="28"/>
          <w:szCs w:val="28"/>
        </w:rPr>
        <w:t>А.А.</w:t>
      </w:r>
      <w:r w:rsidRPr="00A66BB4" w:rsidR="00A66BB4">
        <w:rPr>
          <w:sz w:val="28"/>
          <w:szCs w:val="28"/>
        </w:rPr>
        <w:t xml:space="preserve"> </w:t>
      </w:r>
      <w:r w:rsidR="00A66BB4">
        <w:rPr>
          <w:sz w:val="28"/>
          <w:szCs w:val="28"/>
        </w:rPr>
        <w:t xml:space="preserve">прибыл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0C17A6">
        <w:rPr>
          <w:sz w:val="28"/>
          <w:szCs w:val="28"/>
        </w:rPr>
        <w:t xml:space="preserve">.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 xml:space="preserve">гражданин </w:t>
      </w:r>
      <w:r w:rsidR="00A66BB4">
        <w:rPr>
          <w:sz w:val="28"/>
          <w:szCs w:val="28"/>
        </w:rPr>
        <w:t>Немченко А.А.</w:t>
      </w:r>
      <w:r w:rsidR="009A5BC7">
        <w:rPr>
          <w:sz w:val="28"/>
          <w:szCs w:val="28"/>
        </w:rPr>
        <w:t xml:space="preserve"> </w:t>
      </w:r>
      <w:r w:rsidR="00A66BB4">
        <w:rPr>
          <w:sz w:val="28"/>
          <w:szCs w:val="28"/>
        </w:rPr>
        <w:t xml:space="preserve">сообщил, что следует в зал судебного заседания №14 судьи </w:t>
      </w:r>
      <w:r w:rsidR="00A66BB4">
        <w:rPr>
          <w:sz w:val="28"/>
          <w:szCs w:val="28"/>
        </w:rPr>
        <w:t>Алтанец</w:t>
      </w:r>
      <w:r w:rsidR="00A66BB4">
        <w:rPr>
          <w:sz w:val="28"/>
          <w:szCs w:val="28"/>
        </w:rPr>
        <w:t xml:space="preserve"> И.Г. для рассмотрения дела. </w:t>
      </w:r>
      <w:r w:rsidR="00A66BB4">
        <w:rPr>
          <w:sz w:val="28"/>
          <w:szCs w:val="28"/>
        </w:rPr>
        <w:t>На законные требования судебных приставов по ОУПДС по соблюдению внутреннего распорядка, установленные председателем суда на основе</w:t>
      </w:r>
      <w:r w:rsidR="0012437B">
        <w:rPr>
          <w:sz w:val="28"/>
          <w:szCs w:val="28"/>
        </w:rPr>
        <w:t xml:space="preserve"> утвержденных Советом судей Российской Федерации типовых правил внутреннего распорядка суда с регистрацией в журнале учета посетителей, гражданин Немченко А.А. нарушил пропускной режим  и общественный порядок в здании Керченского городского суда Республики Крым, </w:t>
      </w:r>
      <w:r w:rsidR="0012437B">
        <w:rPr>
          <w:sz w:val="28"/>
          <w:szCs w:val="28"/>
        </w:rPr>
        <w:t>проследуя</w:t>
      </w:r>
      <w:r w:rsidR="0012437B">
        <w:rPr>
          <w:sz w:val="28"/>
          <w:szCs w:val="28"/>
        </w:rPr>
        <w:t xml:space="preserve"> за пределы </w:t>
      </w:r>
      <w:r w:rsidR="0012437B">
        <w:rPr>
          <w:sz w:val="28"/>
          <w:szCs w:val="28"/>
        </w:rPr>
        <w:t>мультизонного</w:t>
      </w:r>
      <w:r w:rsidR="0012437B">
        <w:rPr>
          <w:sz w:val="28"/>
          <w:szCs w:val="28"/>
        </w:rPr>
        <w:t xml:space="preserve"> </w:t>
      </w:r>
      <w:r w:rsidR="0012437B">
        <w:rPr>
          <w:sz w:val="28"/>
          <w:szCs w:val="28"/>
        </w:rPr>
        <w:t>металлодетектора</w:t>
      </w:r>
      <w:r w:rsidR="0012437B">
        <w:rPr>
          <w:sz w:val="28"/>
          <w:szCs w:val="28"/>
        </w:rPr>
        <w:t xml:space="preserve"> без досмотра находящихся на нем вещей</w:t>
      </w:r>
      <w:r w:rsidR="0012437B">
        <w:rPr>
          <w:sz w:val="28"/>
          <w:szCs w:val="28"/>
        </w:rPr>
        <w:t xml:space="preserve"> и без регистрации в журнале учета посетителей. Гражданин Немченко А.А. громко кричал, выражался нецензурной бранью, допускал проявления неуважительного отношения к судебным приставам по ОУПДС, то есть препятствовал надлежащему исполнению судебными приставами по ОУПДС своих служебных функций. </w:t>
      </w:r>
      <w:r w:rsidRPr="00347FDA" w:rsidR="00215F13">
        <w:rPr>
          <w:sz w:val="28"/>
          <w:szCs w:val="28"/>
        </w:rPr>
        <w:t>Н</w:t>
      </w:r>
      <w:r w:rsidRPr="00347FDA" w:rsidR="00705B1A">
        <w:rPr>
          <w:sz w:val="28"/>
          <w:szCs w:val="28"/>
        </w:rPr>
        <w:t xml:space="preserve">а неоднократные </w:t>
      </w:r>
      <w:r w:rsidRPr="00347FDA" w:rsidR="00215F13">
        <w:rPr>
          <w:sz w:val="28"/>
          <w:szCs w:val="28"/>
        </w:rPr>
        <w:t>замечания и законные требования</w:t>
      </w:r>
      <w:r w:rsidRPr="00347FDA" w:rsidR="00705B1A">
        <w:rPr>
          <w:sz w:val="28"/>
          <w:szCs w:val="28"/>
        </w:rPr>
        <w:t xml:space="preserve"> судебных приставов</w:t>
      </w:r>
      <w:r w:rsidR="00060B27">
        <w:rPr>
          <w:sz w:val="28"/>
          <w:szCs w:val="28"/>
        </w:rPr>
        <w:t xml:space="preserve"> по ОУПДС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="00060B27">
        <w:rPr>
          <w:sz w:val="28"/>
          <w:szCs w:val="28"/>
        </w:rPr>
        <w:t xml:space="preserve">гражданин </w:t>
      </w:r>
      <w:r w:rsidR="0012437B">
        <w:rPr>
          <w:sz w:val="28"/>
          <w:szCs w:val="28"/>
        </w:rPr>
        <w:t>Немченко А.А. не реагировал</w:t>
      </w:r>
      <w:r w:rsidRPr="00347FDA" w:rsidR="00A74E4E">
        <w:rPr>
          <w:sz w:val="28"/>
          <w:szCs w:val="28"/>
        </w:rPr>
        <w:t xml:space="preserve">, </w:t>
      </w:r>
      <w:r w:rsidR="0012437B">
        <w:rPr>
          <w:sz w:val="28"/>
          <w:szCs w:val="28"/>
        </w:rPr>
        <w:t>чем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6D1153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</w:t>
      </w:r>
      <w:r w:rsidR="006D1153">
        <w:rPr>
          <w:sz w:val="28"/>
          <w:szCs w:val="28"/>
        </w:rPr>
        <w:t xml:space="preserve"> Республики Крым от 01 февраля 2024 года №1/01-05 и совершил административное правонарушение, предусмотренное ч.2 ст. 17.3 КоАП РФ.</w:t>
      </w:r>
    </w:p>
    <w:p w:rsidR="00B513AB" w:rsidP="00B513AB" w14:paraId="131706DA" w14:textId="115420C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="0012437B">
        <w:rPr>
          <w:sz w:val="28"/>
          <w:szCs w:val="28"/>
        </w:rPr>
        <w:t>Немченко А.А</w:t>
      </w:r>
      <w:r w:rsidR="007672C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513AB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ый</w:t>
      </w:r>
      <w:r w:rsidRPr="00B513AB">
        <w:rPr>
          <w:sz w:val="28"/>
          <w:szCs w:val="28"/>
        </w:rPr>
        <w:t xml:space="preserve"> о дате, времени и месте судебного заседания надлежащим образом</w:t>
      </w:r>
      <w:r>
        <w:rPr>
          <w:sz w:val="28"/>
          <w:szCs w:val="28"/>
        </w:rPr>
        <w:t>,</w:t>
      </w:r>
      <w:r w:rsidRPr="00B513AB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B513AB">
        <w:rPr>
          <w:sz w:val="28"/>
          <w:szCs w:val="28"/>
        </w:rPr>
        <w:t>.</w:t>
      </w:r>
    </w:p>
    <w:p w:rsidR="005505B4" w:rsidRPr="00B513AB" w:rsidP="005505B4" w14:paraId="25B33205" w14:textId="0DF6D0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Ходатайств об отложении рассмотрения дела не поступало.</w:t>
      </w:r>
    </w:p>
    <w:p w:rsidR="00B513AB" w:rsidRPr="00B513AB" w:rsidP="005505B4" w14:paraId="563CA189" w14:textId="7A8723E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Pr="00B513AB">
        <w:rPr>
          <w:sz w:val="28"/>
          <w:szCs w:val="28"/>
        </w:rPr>
        <w:t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513AB">
        <w:rPr>
          <w:sz w:val="28"/>
          <w:szCs w:val="28"/>
        </w:rPr>
        <w:t xml:space="preserve"> </w:t>
      </w:r>
      <w:r w:rsidRPr="00B513AB">
        <w:rPr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B513AB">
        <w:rPr>
          <w:sz w:val="28"/>
          <w:szCs w:val="28"/>
        </w:rPr>
        <w:t xml:space="preserve"> и доставки СМС-извещения адресату). </w:t>
      </w:r>
      <w:r w:rsidRPr="00B513A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513AB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513AB">
        <w:rPr>
          <w:sz w:val="28"/>
          <w:szCs w:val="28"/>
        </w:rPr>
        <w:t>Судебное</w:t>
      </w:r>
      <w:r w:rsidRPr="00B513AB">
        <w:rPr>
          <w:sz w:val="28"/>
          <w:szCs w:val="28"/>
        </w:rPr>
        <w:t xml:space="preserve">", утвержденных приказом ФГУП "Почта России" от 31 августа 2005 года N 343».  О дате, времени и месте судебного заседания </w:t>
      </w:r>
      <w:r w:rsidR="0012437B">
        <w:rPr>
          <w:sz w:val="28"/>
          <w:szCs w:val="28"/>
        </w:rPr>
        <w:t>Немченко А.А.</w:t>
      </w:r>
      <w:r w:rsidRPr="00B513AB">
        <w:rPr>
          <w:sz w:val="28"/>
          <w:szCs w:val="28"/>
        </w:rPr>
        <w:t xml:space="preserve"> извещен надлежащим образом, путем направления судебной повестки, которая была возвращена на судебный участок за истечением срока хранения.</w:t>
      </w:r>
    </w:p>
    <w:p w:rsidR="006C5155" w:rsidRPr="00347FDA" w:rsidP="003265BF" w14:paraId="673573E4" w14:textId="19E09D19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в соответствии ч. 2 ст. 25.1 </w:t>
      </w:r>
      <w:r w:rsidR="006565B1">
        <w:rPr>
          <w:sz w:val="28"/>
          <w:szCs w:val="28"/>
        </w:rPr>
        <w:t>КоАП РФ</w:t>
      </w:r>
      <w:r>
        <w:rPr>
          <w:sz w:val="28"/>
          <w:szCs w:val="28"/>
        </w:rPr>
        <w:t>, суд считает возможным рассмотреть дело в его отсутствие.</w:t>
      </w:r>
    </w:p>
    <w:p w:rsidR="000C17A6" w:rsidP="00404F02" w14:paraId="61EB31F9" w14:textId="0FB775D1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>
        <w:rPr>
          <w:sz w:val="28"/>
          <w:szCs w:val="28"/>
        </w:rPr>
        <w:t xml:space="preserve">Немченко А.А. </w:t>
      </w:r>
      <w:r w:rsidRPr="000C17A6">
        <w:rPr>
          <w:sz w:val="28"/>
          <w:szCs w:val="28"/>
        </w:rPr>
        <w:t xml:space="preserve">в 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</w:t>
      </w:r>
      <w:r w:rsidRPr="00347FDA">
        <w:rPr>
          <w:sz w:val="28"/>
          <w:szCs w:val="28"/>
        </w:rPr>
        <w:t>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4A52E9" w:rsidP="004A52E9" w14:paraId="462AC94C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4A52E9">
        <w:rPr>
          <w:sz w:val="28"/>
          <w:szCs w:val="28"/>
        </w:rPr>
        <w:t>ск в зд</w:t>
      </w:r>
      <w:r w:rsidRPr="004A52E9">
        <w:rPr>
          <w:sz w:val="28"/>
          <w:szCs w:val="28"/>
        </w:rPr>
        <w:t>ание суда запрещается посетителям в состоянии алкогольного, наркотического или токсического опьянения.</w:t>
      </w:r>
    </w:p>
    <w:p w:rsidR="004A52E9" w:rsidRPr="004A52E9" w:rsidP="004A52E9" w14:paraId="727933AF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 xml:space="preserve"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</w:t>
      </w:r>
      <w:r w:rsidRPr="004A52E9">
        <w:rPr>
          <w:sz w:val="28"/>
          <w:szCs w:val="28"/>
        </w:rPr>
        <w:t>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2C8216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AC2DC9">
        <w:rPr>
          <w:sz w:val="28"/>
          <w:szCs w:val="28"/>
        </w:rPr>
        <w:t>20</w:t>
      </w:r>
      <w:r w:rsidR="00B02472">
        <w:rPr>
          <w:sz w:val="28"/>
          <w:szCs w:val="28"/>
        </w:rPr>
        <w:t>-</w:t>
      </w:r>
      <w:r w:rsidR="00C35AE2">
        <w:rPr>
          <w:sz w:val="28"/>
          <w:szCs w:val="28"/>
        </w:rPr>
        <w:t>29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</w:t>
      </w:r>
      <w:r w:rsidRPr="00AC2DC9">
        <w:rPr>
          <w:sz w:val="28"/>
          <w:szCs w:val="28"/>
        </w:rPr>
        <w:t>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63ABDD6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17227E" w:rsidR="0017227E">
        <w:rPr>
          <w:sz w:val="28"/>
          <w:szCs w:val="28"/>
        </w:rPr>
        <w:t xml:space="preserve">03 июня 2024 года в 13 часов 00 минут гражданин Немченко </w:t>
      </w:r>
      <w:r w:rsidR="00002BB6">
        <w:rPr>
          <w:sz w:val="28"/>
          <w:szCs w:val="28"/>
        </w:rPr>
        <w:t>А.А.</w:t>
      </w:r>
      <w:r w:rsidRPr="0017227E" w:rsidR="0017227E">
        <w:rPr>
          <w:sz w:val="28"/>
          <w:szCs w:val="28"/>
        </w:rPr>
        <w:t xml:space="preserve"> прибыл в здание Керченского городского суда Республики Крым, расположенное по адресу: г. Керчь, ул. Свердлова, д. 4. Проходя пост № 1 несения службы судебных приставов по ОУПДС, гражданин Немченко А.А. сообщил, что следует в зал судебного заседания №14 судьи </w:t>
      </w:r>
      <w:r w:rsidRPr="0017227E" w:rsidR="0017227E">
        <w:rPr>
          <w:sz w:val="28"/>
          <w:szCs w:val="28"/>
        </w:rPr>
        <w:t>Алтанец</w:t>
      </w:r>
      <w:r w:rsidRPr="0017227E" w:rsidR="0017227E">
        <w:rPr>
          <w:sz w:val="28"/>
          <w:szCs w:val="28"/>
        </w:rPr>
        <w:t xml:space="preserve"> И.Г. для рассмотрения дела. </w:t>
      </w:r>
      <w:r w:rsidRPr="0017227E" w:rsidR="0017227E">
        <w:rPr>
          <w:sz w:val="28"/>
          <w:szCs w:val="28"/>
        </w:rPr>
        <w:t xml:space="preserve">На законные требования судебных приставов по ОУПДС по соблюдению внутреннего распорядка, установленные председателем суда на основе утвержденных Советом судей Российской Федерации типовых правил внутреннего распорядка суда с регистрацией в журнале учета посетителей, гражданин Немченко А.А. нарушил пропускной режим  и общественный порядок в здании Керченского городского суда Республики Крым, </w:t>
      </w:r>
      <w:r w:rsidRPr="0017227E" w:rsidR="0017227E">
        <w:rPr>
          <w:sz w:val="28"/>
          <w:szCs w:val="28"/>
        </w:rPr>
        <w:t>проследуя</w:t>
      </w:r>
      <w:r w:rsidRPr="0017227E" w:rsidR="0017227E">
        <w:rPr>
          <w:sz w:val="28"/>
          <w:szCs w:val="28"/>
        </w:rPr>
        <w:t xml:space="preserve"> за пределы </w:t>
      </w:r>
      <w:r w:rsidRPr="0017227E" w:rsidR="0017227E">
        <w:rPr>
          <w:sz w:val="28"/>
          <w:szCs w:val="28"/>
        </w:rPr>
        <w:t>мультизонного</w:t>
      </w:r>
      <w:r w:rsidRPr="0017227E" w:rsidR="0017227E">
        <w:rPr>
          <w:sz w:val="28"/>
          <w:szCs w:val="28"/>
        </w:rPr>
        <w:t xml:space="preserve"> </w:t>
      </w:r>
      <w:r w:rsidRPr="0017227E" w:rsidR="0017227E">
        <w:rPr>
          <w:sz w:val="28"/>
          <w:szCs w:val="28"/>
        </w:rPr>
        <w:t>металлодетектора</w:t>
      </w:r>
      <w:r w:rsidRPr="0017227E" w:rsidR="0017227E">
        <w:rPr>
          <w:sz w:val="28"/>
          <w:szCs w:val="28"/>
        </w:rPr>
        <w:t xml:space="preserve"> без досмотра находящихся на нем вещей</w:t>
      </w:r>
      <w:r w:rsidRPr="0017227E" w:rsidR="0017227E">
        <w:rPr>
          <w:sz w:val="28"/>
          <w:szCs w:val="28"/>
        </w:rPr>
        <w:t xml:space="preserve"> и без регистрации в журнале учета посетителей. Гражданин Немченко А.А. громко кричал, выражался нецензурной бранью, допускал проявления неуважительного отношения к судебным приставам по ОУПДС, то есть препятствовал надлежащему исполнению судебными приставами по ОУПДС своих служебных функций. На неоднократные замечания и законные требования судебных приставов по ОУПДС о прекращении действий, нарушающих установленные в суде правила, гражда</w:t>
      </w:r>
      <w:r w:rsidR="0017227E">
        <w:rPr>
          <w:sz w:val="28"/>
          <w:szCs w:val="28"/>
        </w:rPr>
        <w:t>нин Немченко А.А. не реагировал.</w:t>
      </w:r>
    </w:p>
    <w:p w:rsidR="00404F02" w:rsidRPr="00347FDA" w:rsidP="00FD751D" w14:paraId="69D7F2CA" w14:textId="34C397D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17227E">
        <w:rPr>
          <w:sz w:val="28"/>
          <w:szCs w:val="28"/>
        </w:rPr>
        <w:t>Немченко А.А.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002BB6">
        <w:rPr>
          <w:b/>
          <w:sz w:val="28"/>
          <w:szCs w:val="28"/>
        </w:rPr>
        <w:t>/изъято/</w:t>
      </w:r>
      <w:r w:rsidR="00002BB6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17227E">
        <w:rPr>
          <w:sz w:val="28"/>
          <w:szCs w:val="28"/>
        </w:rPr>
        <w:t>03</w:t>
      </w:r>
      <w:r w:rsidRPr="00347FDA" w:rsidR="006C5155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17227E">
        <w:rPr>
          <w:sz w:val="28"/>
          <w:szCs w:val="28"/>
        </w:rPr>
        <w:t>Немченко А.А.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17227E">
        <w:rPr>
          <w:sz w:val="28"/>
          <w:szCs w:val="28"/>
        </w:rPr>
        <w:t>03</w:t>
      </w:r>
      <w:r w:rsidR="00EE3667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17227E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002BB6">
        <w:rPr>
          <w:b/>
          <w:sz w:val="28"/>
          <w:szCs w:val="28"/>
        </w:rPr>
        <w:t>/изъято/</w:t>
      </w:r>
      <w:r w:rsidR="00002BB6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17227E">
        <w:rPr>
          <w:sz w:val="28"/>
          <w:szCs w:val="28"/>
        </w:rPr>
        <w:t>03</w:t>
      </w:r>
      <w:r w:rsidR="00EE3667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5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Pr="006565B1" w:rsidR="006565B1">
        <w:t xml:space="preserve"> </w:t>
      </w:r>
      <w:r w:rsidRPr="00347FDA" w:rsidR="0017227E">
        <w:rPr>
          <w:sz w:val="28"/>
          <w:szCs w:val="28"/>
        </w:rPr>
        <w:t>объяснениями свидетел</w:t>
      </w:r>
      <w:r w:rsidR="0017227E">
        <w:rPr>
          <w:sz w:val="28"/>
          <w:szCs w:val="28"/>
        </w:rPr>
        <w:t>я</w:t>
      </w:r>
      <w:r w:rsidRPr="00347FDA" w:rsidR="0017227E">
        <w:rPr>
          <w:sz w:val="28"/>
          <w:szCs w:val="28"/>
        </w:rPr>
        <w:t xml:space="preserve"> </w:t>
      </w:r>
      <w:r w:rsidR="00002BB6">
        <w:rPr>
          <w:b/>
          <w:sz w:val="28"/>
          <w:szCs w:val="28"/>
        </w:rPr>
        <w:t>/изъято/</w:t>
      </w:r>
      <w:r w:rsidR="00002BB6">
        <w:rPr>
          <w:sz w:val="28"/>
          <w:szCs w:val="28"/>
        </w:rPr>
        <w:t xml:space="preserve"> </w:t>
      </w:r>
      <w:r w:rsidR="0017227E">
        <w:rPr>
          <w:sz w:val="28"/>
          <w:szCs w:val="28"/>
        </w:rPr>
        <w:t xml:space="preserve">от 03.06.2024 </w:t>
      </w:r>
      <w:r w:rsidRPr="00347FDA" w:rsidR="0017227E">
        <w:rPr>
          <w:sz w:val="28"/>
          <w:szCs w:val="28"/>
        </w:rPr>
        <w:t>(</w:t>
      </w:r>
      <w:r w:rsidRPr="00347FDA" w:rsidR="0017227E">
        <w:rPr>
          <w:sz w:val="28"/>
          <w:szCs w:val="28"/>
        </w:rPr>
        <w:t>л.д</w:t>
      </w:r>
      <w:r w:rsidRPr="00347FDA" w:rsidR="0017227E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6),</w:t>
      </w:r>
      <w:r w:rsidRPr="006565B1" w:rsidR="0017227E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17227E">
        <w:rPr>
          <w:sz w:val="28"/>
          <w:szCs w:val="28"/>
        </w:rPr>
        <w:t>11</w:t>
      </w:r>
      <w:r w:rsidRPr="006565B1" w:rsidR="006565B1">
        <w:rPr>
          <w:sz w:val="28"/>
          <w:szCs w:val="28"/>
        </w:rPr>
        <w:t>-</w:t>
      </w:r>
      <w:r w:rsidR="0017227E">
        <w:rPr>
          <w:sz w:val="28"/>
          <w:szCs w:val="28"/>
        </w:rPr>
        <w:t>21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</w:t>
      </w:r>
      <w:r w:rsidRPr="006565B1" w:rsidR="006565B1">
        <w:rPr>
          <w:sz w:val="28"/>
          <w:szCs w:val="28"/>
        </w:rPr>
        <w:t>.д</w:t>
      </w:r>
      <w:r w:rsidRPr="006565B1" w:rsidR="006565B1">
        <w:rPr>
          <w:sz w:val="28"/>
          <w:szCs w:val="28"/>
        </w:rPr>
        <w:t xml:space="preserve">. </w:t>
      </w:r>
      <w:r w:rsidR="0017227E">
        <w:rPr>
          <w:sz w:val="28"/>
          <w:szCs w:val="28"/>
        </w:rPr>
        <w:t>22</w:t>
      </w:r>
      <w:r w:rsidRPr="006565B1" w:rsidR="006565B1">
        <w:rPr>
          <w:sz w:val="28"/>
          <w:szCs w:val="28"/>
        </w:rPr>
        <w:t>-</w:t>
      </w:r>
      <w:r w:rsidR="0017227E">
        <w:rPr>
          <w:sz w:val="28"/>
          <w:szCs w:val="28"/>
        </w:rPr>
        <w:t>31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2E3ADE6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17227E">
        <w:rPr>
          <w:sz w:val="28"/>
          <w:szCs w:val="28"/>
        </w:rPr>
        <w:t xml:space="preserve">Немченко А.А.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6CB7FD4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17227E">
        <w:rPr>
          <w:sz w:val="28"/>
          <w:szCs w:val="28"/>
        </w:rPr>
        <w:t>Немченко А.А.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5505B4" w:rsidP="005505B4" w14:paraId="6CADC764" w14:textId="669B4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При назначении наказания суд учитывает характер и степень общественной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наказание.</w:t>
      </w:r>
    </w:p>
    <w:p w:rsidR="005505B4" w:rsidP="005505B4" w14:paraId="61C72E47" w14:textId="4FE13B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17227E">
        <w:rPr>
          <w:sz w:val="28"/>
          <w:szCs w:val="28"/>
        </w:rPr>
        <w:t>Немченко А.А.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060A5" w:rsidRPr="00347FDA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0060A5" w:rsidRPr="00347FDA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D1445A" w:rsidRPr="00347FDA" w:rsidP="00D5230F" w14:paraId="00F7C587" w14:textId="3AAF4614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Немченко </w:t>
      </w:r>
      <w:r w:rsidR="00002BB6">
        <w:rPr>
          <w:sz w:val="28"/>
          <w:szCs w:val="28"/>
        </w:rPr>
        <w:t>А.А.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признать виновным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347FDA" w:rsidR="001A07C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14C9B0CB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D42FFB" w:rsidR="00D42FFB">
        <w:rPr>
          <w:sz w:val="28"/>
          <w:szCs w:val="28"/>
        </w:rPr>
        <w:t>0410760300485001212417148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4DEDD6D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D42FFB">
        <w:rPr>
          <w:sz w:val="28"/>
          <w:szCs w:val="28"/>
        </w:rPr>
        <w:t xml:space="preserve">Немченко </w:t>
      </w:r>
      <w:r w:rsidR="00002BB6">
        <w:rPr>
          <w:sz w:val="28"/>
          <w:szCs w:val="28"/>
        </w:rPr>
        <w:t>А.А.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4BA7B70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D42FFB">
        <w:rPr>
          <w:sz w:val="28"/>
          <w:szCs w:val="28"/>
        </w:rPr>
        <w:t xml:space="preserve">Немченко </w:t>
      </w:r>
      <w:r w:rsidR="00002BB6">
        <w:rPr>
          <w:sz w:val="28"/>
          <w:szCs w:val="28"/>
        </w:rPr>
        <w:t>А.А.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75C6FFC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D42FFB">
        <w:rPr>
          <w:sz w:val="28"/>
          <w:szCs w:val="28"/>
        </w:rPr>
        <w:t xml:space="preserve">Немченко </w:t>
      </w:r>
      <w:r w:rsidR="00002BB6">
        <w:rPr>
          <w:sz w:val="28"/>
          <w:szCs w:val="28"/>
        </w:rPr>
        <w:t>А.А.</w:t>
      </w:r>
      <w:r w:rsidRPr="00203516" w:rsidR="00D42FFB">
        <w:rPr>
          <w:rFonts w:eastAsia="Times New Roman"/>
          <w:sz w:val="28"/>
          <w:szCs w:val="28"/>
          <w:lang w:eastAsia="ru-RU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6072A98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  </w:t>
      </w:r>
      <w:r w:rsidR="009A6C5B">
        <w:rPr>
          <w:sz w:val="28"/>
          <w:szCs w:val="28"/>
        </w:rPr>
        <w:t>Кучерова</w:t>
      </w:r>
      <w:r w:rsidR="009A6C5B">
        <w:rPr>
          <w:sz w:val="28"/>
          <w:szCs w:val="28"/>
        </w:rPr>
        <w:t xml:space="preserve"> С.А.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BB6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BB6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2BB6"/>
    <w:rsid w:val="000060A5"/>
    <w:rsid w:val="00026062"/>
    <w:rsid w:val="0002650B"/>
    <w:rsid w:val="000535FD"/>
    <w:rsid w:val="00060B27"/>
    <w:rsid w:val="00063F3D"/>
    <w:rsid w:val="000C17A6"/>
    <w:rsid w:val="0012437B"/>
    <w:rsid w:val="00143688"/>
    <w:rsid w:val="00152315"/>
    <w:rsid w:val="00152B9D"/>
    <w:rsid w:val="0017227E"/>
    <w:rsid w:val="001742F7"/>
    <w:rsid w:val="00175209"/>
    <w:rsid w:val="001A07CA"/>
    <w:rsid w:val="001C5396"/>
    <w:rsid w:val="00200429"/>
    <w:rsid w:val="00203516"/>
    <w:rsid w:val="00215F13"/>
    <w:rsid w:val="00217464"/>
    <w:rsid w:val="00235B8E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73BD9"/>
    <w:rsid w:val="00482FCF"/>
    <w:rsid w:val="004A52E9"/>
    <w:rsid w:val="0053507E"/>
    <w:rsid w:val="005505B4"/>
    <w:rsid w:val="00551C04"/>
    <w:rsid w:val="0055339E"/>
    <w:rsid w:val="005577F5"/>
    <w:rsid w:val="005E7B75"/>
    <w:rsid w:val="0060583B"/>
    <w:rsid w:val="006565B1"/>
    <w:rsid w:val="00680386"/>
    <w:rsid w:val="00680C3F"/>
    <w:rsid w:val="006B7328"/>
    <w:rsid w:val="006C5155"/>
    <w:rsid w:val="006D1153"/>
    <w:rsid w:val="006E5345"/>
    <w:rsid w:val="006F05A6"/>
    <w:rsid w:val="00705B1A"/>
    <w:rsid w:val="00732F4D"/>
    <w:rsid w:val="007570FC"/>
    <w:rsid w:val="00762BA0"/>
    <w:rsid w:val="007672C3"/>
    <w:rsid w:val="00774F1E"/>
    <w:rsid w:val="00777C52"/>
    <w:rsid w:val="007813CE"/>
    <w:rsid w:val="00790A64"/>
    <w:rsid w:val="007D5CAF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D2F14"/>
    <w:rsid w:val="009D4D29"/>
    <w:rsid w:val="009D4E2F"/>
    <w:rsid w:val="00A04BB2"/>
    <w:rsid w:val="00A358AE"/>
    <w:rsid w:val="00A36652"/>
    <w:rsid w:val="00A66BB4"/>
    <w:rsid w:val="00A7088A"/>
    <w:rsid w:val="00A74E4E"/>
    <w:rsid w:val="00AC1D99"/>
    <w:rsid w:val="00AC2DC9"/>
    <w:rsid w:val="00AF2772"/>
    <w:rsid w:val="00AF45AD"/>
    <w:rsid w:val="00B02472"/>
    <w:rsid w:val="00B366DC"/>
    <w:rsid w:val="00B513AB"/>
    <w:rsid w:val="00B8169D"/>
    <w:rsid w:val="00C03E06"/>
    <w:rsid w:val="00C125B7"/>
    <w:rsid w:val="00C218C6"/>
    <w:rsid w:val="00C35AE2"/>
    <w:rsid w:val="00C57E07"/>
    <w:rsid w:val="00C804F7"/>
    <w:rsid w:val="00CE589B"/>
    <w:rsid w:val="00CE63FE"/>
    <w:rsid w:val="00D03575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479D0"/>
    <w:rsid w:val="00E62B7E"/>
    <w:rsid w:val="00EE3667"/>
    <w:rsid w:val="00F1735D"/>
    <w:rsid w:val="00F33732"/>
    <w:rsid w:val="00F705BF"/>
    <w:rsid w:val="00F708CA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1668-041B-4097-B7E7-7E2C3D5D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