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5-52-72/2017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                  паспортные данные, гражданина России, паспортные данные,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4 от дата, наименование организации, нарушил срок представления сведений о застрахованных лицах по форме СЗВ-М за дата. наименование организации по ТКС в ОПФР в адрес предоставил сведения о застрахованных лицах дата, с нарушением установленного срока на двадцать восемь дней. Своими действиями                     наименование организации, совершил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признал, в содеянном раскаялся, и пояснил, что нарушил срок, так как работающая у него фио, длительное время не предоставляла бухгалтеру свои документы, необходимые для предоставления в Пенсионный фонд.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4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(л.д.3);</w:t>
      </w:r>
    </w:p>
    <w:p w:rsidR="00A77B3E">
      <w:r>
        <w:t>· сведениями о застрахованных лицах за дата предоставленными наименование организации;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дата;</w:t>
      </w:r>
    </w:p>
    <w:p w:rsidR="00A77B3E">
      <w:r>
        <w:t>· выпиской из Единого государственного реестра индивидуальных предпринимателей (л.д.5-6).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          наименование организации,                   паспортные данные,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