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5-52-172/2017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данные, проживающей по адресу: адрес,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7 от дата, директор МБОУ «Кировская школа-гимназия № 2» фио, нарушила срок представления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дата. Расчет по начисленным и уплаченным страховым взносам за дата представила в виде электронного документа дата, то есть с нарушением установленного срока – дата Своими действиями директор МБОУ «Кировская школа-гимназия № 2» фио, совершила административное правонарушение, предусмотренное ч.2 ст.15.33 КоАП РФ.  </w:t>
      </w:r>
    </w:p>
    <w:p w:rsidR="00A77B3E">
      <w:r>
        <w:t xml:space="preserve">В судебном заседании фио, вину в содеянном правонарушении признала, в содеянном раскаялась, и пояснила, что бухгалтерия находится в Отделе образования адрес, в который она своевременно предоставила сведения по начисленным и уплаченным страховым взносам, но так как в начале года в данном учреждении имели место кадровые изменения, отчет ими направлен в Соцстрах с нарушением установленного срока.      </w:t>
      </w:r>
    </w:p>
    <w:p w:rsidR="00A77B3E">
      <w:r>
        <w:t xml:space="preserve">   Согласно ч.1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директора МБОУ «Кировская школа-гимназия № 2»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 7 от дата, (л.д.1);</w:t>
      </w:r>
    </w:p>
    <w:p w:rsidR="00A77B3E">
      <w:r>
        <w:t>· выпиской из Единого государственного реестра юридических лиц (л.д.5-6);</w:t>
      </w:r>
    </w:p>
    <w:p w:rsidR="00A77B3E">
      <w:r>
        <w:t>· актом камеральной проверки от дата № 15 (л.д.7-8);</w:t>
      </w:r>
    </w:p>
    <w:p w:rsidR="00A77B3E">
      <w:r>
        <w:t>· актом камеральной проверки № 13 от дата (л.д.9-10);</w:t>
      </w:r>
    </w:p>
    <w:p w:rsidR="00A77B3E">
      <w:r>
        <w:t xml:space="preserve">· 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дата, представленным в форме электронного документа дата (л.д.12-18).  </w:t>
      </w:r>
    </w:p>
    <w:p w:rsidR="00A77B3E">
      <w:r>
        <w:t xml:space="preserve">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наименование организации адрес РК фио, паспортные данные, проживающую по адресу: адрес, адрес, признать виновной в совершении правонарушения, предусмотренного ч.2 ст. 15.33 КоАП РФ и подвергнуть ее административному наказанию в виде административного штрафа в размере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