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52-195/2018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по адрес РК,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 от дата (л.д.2);</w:t>
      </w:r>
    </w:p>
    <w:p w:rsidR="00A77B3E">
      <w:r>
        <w:t>· постановлением сотрудника полиции от дата (л.д.3).</w:t>
      </w:r>
    </w:p>
    <w:p w:rsidR="00A77B3E">
      <w:r>
        <w:t xml:space="preserve">При этом материалы дела свидетельствуют о том, что постановлением сотрудника полиции от дата, фио признан виновным в совершении административного правонарушения, предусмотренного ст. 20.20 ч.1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Обстоятельством, отягчающим наказание фио, считаю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его материальное положение, при наличии смягчающих и отягчающих вину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/>
    <w:p w:rsidR="00A77B3E">
      <w:r>
        <w:t xml:space="preserve">При этом назначение штрафа или обязательных работ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фио, паспортные данные, АР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40 (сорок) часов. 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