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5-52-225/2017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Администрации Токаревского адрес фио, паспортные данные, гражданина России, паспортные данные, проживающего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450 от дата, составленного Межрайонной ИФНС № 4 по РК, в отношении руководителя Администрации Токаревского адрес                     фио, в срок не предоставил налоговую декларацию по налогу на прибыль организации за шесть месяцев дата, тогда как, в соответствии с законодательством, срок предоставления отчетности не позднее 28 календарных дней со дня окончания соответствующего отчетного периода, то есть не позднее дата, установленный п.3 ст.289 Налогового Кодекса РФ, тогда как фактически налоговая декларация по налогу на прибыль, предоставлена дата Своим бездействием руководитель Администрации Токаревского адрес фио, совершил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 в содеянном раскаялся.  </w:t>
      </w:r>
    </w:p>
    <w:p w:rsidR="00A77B3E">
      <w: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Выслушав пояснения правонарушителя, 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№450 от дата, согласно которому фио, являясь  руководителем Администрации Токаревского адрес, не предоставил  в налоговый орган к  дата Декларацию по  налогу на прибыль организации за шесть месяцев дата. Дата фактического предоставления документа – дата (л.д.1-2);</w:t>
      </w:r>
    </w:p>
    <w:p w:rsidR="00A77B3E">
      <w:r>
        <w:t>· сведениями об организационно-правовой форме и наименовании юридического лица  - Администрация Токаревского адрес (л.д.3-5);</w:t>
      </w:r>
    </w:p>
    <w:p w:rsidR="00A77B3E">
      <w:r>
        <w:t xml:space="preserve">· подтверждением даты отправки от дата (л.д.8); </w:t>
      </w:r>
    </w:p>
    <w:p w:rsidR="00A77B3E">
      <w:r>
        <w:t>· квитанцией о приеме налоговой декларации (расчета) в электронном виде, согласно которой, Администрация адрес направила налоговую декларацию по налогу на прибыль организации дата (л.д.9).</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которыми являются признание вины и раскаяние в содеянном,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учитывая незначительный срок пропуска предоставления декларации,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руководителя Администрации Токаревского адрес фио, паспортные данные, проживающего по адресу: адрес, адрес, признать виновным в совершении правонарушения, предусмотренного ч.1 ст. 15.6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