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№5-52-311/2023</w:t>
      </w:r>
    </w:p>
    <w:p w:rsidR="00A77B3E">
      <w:r>
        <w:t>УИД:...</w:t>
      </w:r>
    </w:p>
    <w:p w:rsidR="00A77B3E">
      <w:r>
        <w:t>УИН: 0410760300525003112320107</w:t>
      </w:r>
    </w:p>
    <w:p w:rsidR="00A77B3E"/>
    <w:p w:rsidR="00A77B3E">
      <w:r>
        <w:t>ПОСТАНОВЛЕНИЕ</w:t>
      </w:r>
    </w:p>
    <w:p w:rsidR="00A77B3E"/>
    <w:p w:rsidR="00A77B3E">
      <w:r>
        <w:t>27 июня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Ибадуллаевой Эльвиры Симмаровны, паспортные данные, гражданки РФ, паспорт ..., не работающей, зарегистрированной и  проживающей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Ибадуллаева Э.С., дата, в время находясь по адресу: адрес, будучи привлеченной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уплатила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Ибадуллаева Э.С. совершила административное правонарушение, ответственность за которое предусмотрена ч.1 ст.20.25. КоАП РФ. </w:t>
      </w:r>
    </w:p>
    <w:p w:rsidR="00A77B3E">
      <w:r>
        <w:t>Ибадуллаева Э.С. в судебное заседание не явилась, о времени и месте его проведения извещена надлежаще, причины неявки мировому судье неизвестны. В материалах дела имеется ходатайство о  рассмотрении дела без ее участия.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ее ходатайства о рассмотрении дела в ее отсутствии, мировой судья считает возможным рассмотреть дело в ее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Ибадуллаева Э.С. признана виновной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3).</w:t>
      </w:r>
    </w:p>
    <w:p w:rsidR="00A77B3E">
      <w:r>
        <w:t>Постановление о привлечении Ибадуллаевой Э.С.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Ибадуллаевой Э.С.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Ибадуллаевой Э.С.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Ибадуллаевой Э.С.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3); информацией о привлечении к административной ответственности (л.д. 4) и иными материалами дела.</w:t>
      </w:r>
    </w:p>
    <w:p w:rsidR="00A77B3E">
      <w:r>
        <w:t>Таким образом, вина Ибадуллаевой Э.С.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Ибадуллаевой Э.С.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Ибадуллаеву Эльвиру Симмаровну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