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52-608/2018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 проживающего по адресу: адрес,  наименование организации, адрес, зарегистрированного по адресу: адрес, адрес, работающего мастером жилища наименование организации адрес, по статье 20.21 КоАП РФ, 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  возле ОМВД России по адрес, расположенного по адресу: адрес, адрес, в состоянии алкогольного опьянения,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160937/923 от                    дата (л.д.1);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стойкий запах алкоголя из полости рта, шаткая походка, невнятная речь (л.д.2); </w:t>
      </w:r>
    </w:p>
    <w:p w:rsidR="00A77B3E">
      <w:r>
        <w:t>· письменными объяснениями фио от дата, подтвержденными им в судебном заседании (л.д.3);</w:t>
      </w:r>
    </w:p>
    <w:p w:rsidR="00A77B3E">
      <w:r>
        <w:t xml:space="preserve">· протоколом об административном задержании от дата (л.д.4); </w:t>
      </w:r>
    </w:p>
    <w:p w:rsidR="00A77B3E">
      <w:r>
        <w:t>· актом №84 медицинского освидетельствования на состояние (алкогольного, наркотического или иного токсического) от дата (л.д.7).</w:t>
      </w:r>
    </w:p>
    <w:p w:rsidR="00A77B3E">
      <w:r>
        <w:t>· справкой ГБУЗРК «Кировская ЦРБ» от дата, согласно которой                       фио установлен диагноз алкогольное опьянение (л.д.11).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его иждивении малолетнего ребенка.  </w:t>
      </w:r>
    </w:p>
    <w:p w:rsidR="00A77B3E">
      <w:r>
        <w:t xml:space="preserve">Обстоятельством, отягчающим наказание фио, суд считает, повторное совершение однородного административного правонарушения.  </w:t>
      </w:r>
    </w:p>
    <w:p w:rsidR="00A77B3E">
      <w:r>
        <w:t>С учетом изложенного, судья считает возможным назначить правонарушителю административное наказание в виде административного штрафа в максимальном размере, предусмотренном санкцией статьи 20.21 КоАП РФ,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по адресу: адрес,  наименование организации, адрес, зарегистрированного по адресу:                                    адрес, адрес, Республика,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188804911800001609371,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