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№5-53-201/2017</w:t>
      </w:r>
    </w:p>
    <w:p w:rsidR="00A77B3E">
      <w:r>
        <w:t>ПОСТАНОВЛЕНИЕ</w:t>
      </w:r>
    </w:p>
    <w:p w:rsidR="00A77B3E"/>
    <w:p w:rsidR="00A77B3E">
      <w:r>
        <w:t>31 мая 2017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фио фио, паспортные данные, зарегистрированной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Аметова Л.М., являясь должностным лицом – ...,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представила в срок до </w:t>
      </w:r>
    </w:p>
    <w:p w:rsidR="00A77B3E">
      <w:r>
        <w:t xml:space="preserve">дата в отдел ПФРФ в адрес сведения о всех застрахованных лицах, работающих в учреждении, по форме СЗВ-М за дата, предоставив их только дата </w:t>
      </w:r>
    </w:p>
    <w:p w:rsidR="00A77B3E">
      <w:r>
        <w:t xml:space="preserve">В судебное заседание Аметова Л.М.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Факт совершения Аметовой Л.М. административного правонарушения, предусмотренного ст.15.33.2 КоАП РФ подтверждается: протоколом об административном правонарушении от 10 мая 2017 г. №22 (л.д.1-2), выпиской из ЕГРЮЛ в отношении МБОУ «Старокрымская ОШ №2» (л.д.5-6), сведениями о застрахованных лицах в МБОУ «Старокрымская ОШ №2» по форме СЗВ-М за декабрь 2016 г. (л.д.7), извещением о доставке отчёта, в котором датой получения сведений является 7 апреля 2017 г.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21 апреля 2017 г. (л.д.4).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наименование организации Аметовой Л.М.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Аметовой Л.М.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Аметовой Л.М. совершено административное правонарушение в области финансов, налогов и сборов, ранее она к административной ответственности не привлекалась.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Аметовой Л.М. административное наказание в виде административного штрафа в пределах санкции ст.15.33.2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наименование организации адрес фио фио, паспортные данные, зарегистрированную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400 (четыреста)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043510001, счёт № 40101810335100010001, КБК 39211620010066000140, ОКТМО 35000000, ИНН 7706808265, КПП 910201001. </w:t>
      </w:r>
    </w:p>
    <w:p w:rsidR="00A77B3E">
      <w:r>
        <w:t xml:space="preserve">Разъяснить Аметовой Л.М.,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