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№5-53-208/2020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7 мая 2020 г.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ч.6 ст.20.8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Пучкова </w:t>
      </w:r>
      <w:r>
        <w:t>фио</w:t>
      </w:r>
      <w:r>
        <w:t xml:space="preserve">, родившегося дата в адрес, гражданина ..., проживающего по адресу: адрес, ... в наименование организации, являющегося ...,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Пучков А.Г. дата в время час. по адресу: адрес, в нарушение п.54 Правил оборота гражданского и служебного оружия и патронов к нему на адрес, утверждённых Постановлением Правительства Российской Федерации от 21 июля 1998 г. №814, и ст.22 Федерального закона от 13 декабря 1996 г. №150-ФЗ «Об оружии», хранил ..., номер телефон, по разрешению </w:t>
      </w:r>
      <w:r>
        <w:t>РОХа</w:t>
      </w:r>
      <w:r>
        <w:t xml:space="preserve"> №14071574, срок действия которого истёк 28 февраля 2020 г., тем самым совершил административное правонарушение, предусмотренное ч.6 ст.20.8 КоАП РФ.    </w:t>
      </w:r>
    </w:p>
    <w:p>
      <w:pPr>
        <w:jc w:val="both"/>
      </w:pPr>
      <w:r>
        <w:t xml:space="preserve">В судебном заседании Пучков А.Г.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ч.6 ст.20.8 КоАП РФ, признал. </w:t>
      </w:r>
    </w:p>
    <w:p>
      <w:pPr>
        <w:jc w:val="both"/>
      </w:pPr>
      <w:r>
        <w:t xml:space="preserve">Выслушав объяснения Пучкова А.Г.,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Согласно п.54 Постановления Правительства РФ от 21 июля 1998 г. №814 </w:t>
      </w:r>
    </w:p>
    <w:p>
      <w:pPr>
        <w:jc w:val="both"/>
      </w:pPr>
      <w:r>
        <w:t>«О мерах по регулированию оборота гражданского и служебного оружия и патронов к нему на адрес»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её территориальных органах разрешения на хранение, или хранение и использование, или хранение и ношение оружия.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ч.6 ст.20.8 КоАП РФ, и вина Пучкова А.Г. подтверждаются: протоколом об административном правонарушении №РК-телефон от дата (л.д.1), копией разрешения </w:t>
      </w:r>
      <w:r>
        <w:t>РОХа</w:t>
      </w:r>
      <w:r>
        <w:t xml:space="preserve"> №14071574 на хранение и ношение охотничьего оружия (л.д.4, 5).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Пучкова А.Г. необходимо квалифицировать по ч.6 ст.20.8 КоАП РФ, как незаконное хранение гражданского огнестрельного гладкоствольного оружия.</w:t>
      </w:r>
    </w:p>
    <w:p>
      <w:pPr>
        <w:jc w:val="both"/>
      </w:pPr>
      <w:r>
        <w:t>При назначении административного наказания Пучкову А.Г.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Пучковым А.Г. совершено административное правонарушение, посягающее на общественный порядок и общественную безопасность, в настоящее время он официально трудоустроен, является пенсионером, женат, ранее к административной ответственности не привлекался.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Пучковым А.Г.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Пучкову А.Г. административное наказание в виде административного штрафа в пределах санкции ч.6 ст.20.8 КоАП РФ с конфискацией оружия.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Пучкова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ч.6 ст.20.8 КоАП РФ, и назначить ему наказание в виде административного штрафа в размере 4000 (четыре тысячи) рублей с конфискацией оружия –... телефон.</w:t>
      </w:r>
    </w:p>
    <w:p>
      <w:pPr>
        <w:jc w:val="both"/>
      </w:pPr>
      <w:r>
        <w:t xml:space="preserve">Штраф подлежит уплате по следующим реквизитам: получатель УФК по Республике Крым (Министерство юстиции Республики Крым, л/с 04752203230), ИНН телефон, КПП телефон, банк получателя: Отделение по Республике Крым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По вступлению постановления в законную силу гладкоствольное, огнестрельное оружие – охотничье ружьё модели </w:t>
      </w:r>
      <w:r>
        <w:t>модели</w:t>
      </w:r>
      <w:r>
        <w:t xml:space="preserve"> </w:t>
      </w:r>
      <w:r>
        <w:t>Simson</w:t>
      </w:r>
      <w:r>
        <w:t>, калибра 12/70, номер телефон, находящееся на хранении в ОМВД России по адрес по квитанции №45 от дата, передать в федеральный орган исполнительной власти, уполномоченный в сфере оборота оружия, для принятия решения об их уничтожении или реализации, либо использовании в надлежащем порядке в соответствии с Федеральным законом от дата №150-ФЗ «Об оружии».</w:t>
      </w:r>
    </w:p>
    <w:p>
      <w:pPr>
        <w:jc w:val="both"/>
      </w:pPr>
      <w:r>
        <w:t xml:space="preserve">Разъяснить Пучкову А.Г.,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  <w:rPr>
          <w:sz w:val="20"/>
          <w:szCs w:val="20"/>
        </w:rPr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1201C5-6EDE-42F0-AAA3-32EF9FEB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