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№5-53-287/2019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Муратовой фио 18 ноября 1985 года рождения, уроженк... гражданина ...,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1 дата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 w:rsidR="00A77B3E"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июль </w:t>
      </w:r>
    </w:p>
    <w:p w:rsidR="00A77B3E">
      <w:r>
        <w:t xml:space="preserve">дата (с типом формы - дополняющая) на 2 застрахованных лиц: фио, 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>дата №52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фио, фио, фио (л.д.7), извещением о доставке отчёта (л.д.7 оборот), выпиской из ЕГРЮЛ в отношении Учреждения (л.д.9-11).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имеющей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 паспортные данные ...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300 (триста) рублей.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