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№5-53-399/2019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12 августа 2019 г.            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гражданина ..., зарегистрированной и проживающей по адресу: адрес, работающей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Трофимович Л.А.,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Трофимович Л.А.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Трофимович Л.А.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Трофимович Л.А.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№70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(л.д.8-10), сведениями о застрахованных лицах в Учреждении за дата (л.д.6), извещением о доставке отчёта, в котором датой получения сведений указано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Трофимович Л.А.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Трофимович Л.А.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Трофимович Л.А.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трудоустроена, замужем.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Трофимович Л.А. административное наказание в </w:t>
      </w:r>
      <w:r>
        <w:t xml:space="preserve">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зарегистрированную и проживающую по адресу: адрес, </w:t>
      </w:r>
    </w:p>
    <w:p>
      <w:pPr>
        <w:jc w:val="both"/>
      </w:pPr>
      <w:r>
        <w:t>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Трофимович Л.А.,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2EC22E-52F9-4DE9-ACC8-2A968BC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