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№5-53-467/2020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8 октября 2020 г.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Власюка </w:t>
      </w:r>
      <w:r>
        <w:t>фио</w:t>
      </w:r>
      <w:r>
        <w:t xml:space="preserve"> родившегося дата в адрес, гражданина ...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Власюк Е.С. дата в время час., находясь на адрес, возле дома ..., в адрес, умышленно ударом ноги повредил камень бетонный бортовой – бордюр тротуарный, размером 20х30 см, принадлежащий наименование организации, причинив тем самым потерпевшему материальный ущерб в размере сумма. </w:t>
      </w:r>
    </w:p>
    <w:p>
      <w:pPr>
        <w:jc w:val="both"/>
      </w:pPr>
      <w:r>
        <w:t xml:space="preserve">Для участия в рассмотрении дела Власюк Е.С. не явился, о месте и времени рассмотрения дела извещён надлежащим образов, ходатайство об отложении рассмотрения дела не представил, в связи с чем дело рассмотрено в его отсутствие. </w:t>
      </w:r>
    </w:p>
    <w:p>
      <w:pPr>
        <w:jc w:val="both"/>
      </w:pPr>
      <w:r>
        <w:t xml:space="preserve">Представитель ООО «Крымская строительная компания» также для принятия участия в рассмотрении дела не явился, о месте и времени рассмотрения деда извещался по месту жительства заказным письмом с уведомлением, однако почтовое отправление возвращено мировому судье за истечением срока хранения, в связи с чем дело рассмотрено в отсутствие представителя потерпевшего.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Власюком Е.С.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Власюка Е.С. подтверждаются: протоколом об административном правонарушении №РК-телефон от дата (л.д.1), рапортом оперативного дежурного ОМВД России по адрес </w:t>
      </w:r>
      <w:r>
        <w:t>фио</w:t>
      </w:r>
      <w:r>
        <w:t xml:space="preserve"> от дата, зарегистрированного в КУСП под номером 3136 (л.д.2), протоколом принятия устного заявления о преступлении от дата (л.д.3), протоколом осмотра места происшествия от дата (л.д.9-12), копией счёта на оплату №892 от дата (л.д.14).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Власюка Е.С.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Власюку Е.С. учитывается характер совершённого административного правонарушения, личность виновного, его </w:t>
      </w:r>
      <w:r>
        <w:t xml:space="preserve">имущественное положение, отсутствие обстоятельств, смягчающих и отягчающих  административную ответственность. </w:t>
      </w:r>
    </w:p>
    <w:p>
      <w:pPr>
        <w:jc w:val="both"/>
      </w:pPr>
      <w:r>
        <w:t>Власюком Е.С. совершено административное правонарушение в области охраны собственности, в настоящее в...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воспитания уважения к общеустановленным правилам, а также предупреждения совершения новых правонарушений, считаю необходимым назначить Власюку Е.С.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Власюка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Власюку Е.С.,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7D9EDA-97DC-4521-A2D2-321A1AF1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