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№5-53-661/2019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4 декабря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Муратова </w:t>
      </w:r>
      <w:r>
        <w:t>фио</w:t>
      </w:r>
      <w:r>
        <w:t xml:space="preserve"> родившегося дата в ...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Муратов Э.С.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Муратов Э.С. по адрес в адрес на автомобиле марка автомобиля осуществлял перевозку пассажиров за плату в сумма без государственной регистрации в качестве индивидуального предпринимателя, указанной деятельностью занимался систематически. </w:t>
      </w:r>
    </w:p>
    <w:p>
      <w:pPr>
        <w:jc w:val="both"/>
      </w:pPr>
      <w:r>
        <w:t xml:space="preserve">В судебном заседании Муратов Э.С.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оспаривал, пояснил, что в связи с отсутствие постоянной работы периодически занимается перевозкой людей по адрес за плату в сумма.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Муратовым Э.С. административного правонарушения. </w:t>
      </w:r>
    </w:p>
    <w:p>
      <w:pPr>
        <w:jc w:val="both"/>
      </w:pPr>
      <w:r>
        <w:t xml:space="preserve">Факт совершения Муратовым Э.С. административного правонарушения и его вина подтверждаются: протоколом об административном правонарушении РК-телефон от дата (л.д.1), письменными объяснениями Муратова Э.С. от дата, подтверждёнными им в судебном заседании (л.д.2), копиями свидетельства о регистрации транспортного средства и водительского удостоверения на имя Муратова Э.С.  (л.д.3), рапортом государственного инспектора БДД ОГИБДД ОМВД России по адрес </w:t>
      </w:r>
      <w:r>
        <w:t>фио</w:t>
      </w:r>
      <w:r>
        <w:t xml:space="preserve"> от дата (л.д.6).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Муратова Э.С.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Муратову Э.С.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Муратовым Э.С. совершено административное правонарушение в области предпринимательской деятельности, ранее ...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Муратовым Э.С. вины, наличие на иждивении виновного несовершеннолетнего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Муратову Э.С. административное наказание в виде административного штрафа в минимальном размере, предусмотренном санкцией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Муратова </w:t>
      </w:r>
      <w:r>
        <w:t>фио</w:t>
      </w:r>
      <w:r>
        <w:t>, родившегося дата в ...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500 (пятьсот)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18880491190002657034. </w:t>
      </w:r>
    </w:p>
    <w:p>
      <w:pPr>
        <w:jc w:val="both"/>
      </w:pPr>
      <w:r>
        <w:t xml:space="preserve">Разъяснить Муратову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A1710C-7794-4639-AA99-FFAFBBD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