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№5-53-681/2019</w:t>
      </w:r>
    </w:p>
    <w:p>
      <w:pPr>
        <w:ind w:left="288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20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Исмаилова ..., родившегося дата в адрес ..., гражданина ... проживающего по адресу: адрес, </w:t>
      </w:r>
    </w:p>
    <w:p>
      <w:pPr>
        <w:jc w:val="both"/>
      </w:pPr>
      <w:r>
        <w:t xml:space="preserve">адрес, ...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Исмаилов М.Р.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Исмаилова М.Р. старшим инспектором по исполнению административного законодательства ЦАФАП ГИБДД МВД по адрес </w:t>
      </w: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Исмаилов М.Р.,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Исмаилов М.Р. совершил административное правонарушение, предусмотренное ч.1 ст.20.25 КоАП РФ.</w:t>
      </w:r>
    </w:p>
    <w:p>
      <w:pPr>
        <w:jc w:val="both"/>
      </w:pPr>
      <w:r>
        <w:t>В судебном заседании Исмаилов М.Р.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 ходе судебного разбирательства отводов и ходатайств Исмаиловым М.Р. заявлено не было. </w:t>
      </w:r>
    </w:p>
    <w:p>
      <w:pPr>
        <w:jc w:val="both"/>
      </w:pPr>
      <w:r>
        <w:t xml:space="preserve">Исследовав материалы дела, выслушав объяснения Исмаилова М.Р.,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>Факт совершения Исмаиловым М.Р.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постановления по делу об административном правонарушении, предусмотренном ч.2 ст.12.9 КоАП РФ, в отношении Исмаилова М.Р. от дата (л.д.2).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Исмаилова М.Р.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Исмаилову М.Р.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Исмаиловым М.Р. совершено административное правонарушение, посягающее на общественный порядок и общественную безопасность, ...   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Исмаиловым М.Р.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Исмаилову М.Р.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>признать Исмаилова ... родившегося дата в адрес ...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КБК – 18811643000016000140,   КПП – телефон, ОКТМО – телефон, ИНН – телефон, получатель УФК по адрес (ОМВД России по адрес), УИН 18810491191900003012.</w:t>
      </w:r>
    </w:p>
    <w:p>
      <w:pPr>
        <w:jc w:val="both"/>
      </w:pPr>
      <w:r>
        <w:t xml:space="preserve">Разъяснить Исмаилову М.Р., что мера наказания в виде штрафа должна быть исполнена лицом, привлечённым к административной ответственности, в течение </w:t>
      </w:r>
      <w:r>
        <w:t>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A24938-5D42-4836-98F2-EC00447A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