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Сюзанны Григорьевны, 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являющейся генеральным директором ООО «Крым-Трейд», зарегистрированной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С.Г., являясь генеральным директором ООО «Крым-Трейд»,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15.33.2 КоАП РФ, не представила в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15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года, фактически представлен 16.10.2018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 по адресу, указанному в протоколе об административном правонарушении. Корреспонденция возвратилась в адрес судебного участка с отметкой об истечении сроков хранения.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>2018 года о каждом работающем застрахованном лице – не позднее 15.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.2018 г. Фактически сведения предоставлены 16.10.2018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генеральным директором ООО «Крым-Трейд».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20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17.12.2018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Сюзанну Григорьевну, 04.04.1986, признать виновной в совершении правонарушения по ст. 15.33.2 КоАП РФ и назначить ей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«0» постановление № 5-54-3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