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5-54-10/2021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91MS0054-01-2021-000021-97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Ивановны,</w:t>
      </w:r>
      <w:r>
        <w:rPr>
          <w:rStyle w:val="cat-ExternalSystemDefinedgrp-4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№ 91052035800013300001 от 23.12.2020 года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Анна Ивановна, являясь главным бухгалтером </w:t>
      </w:r>
      <w:r>
        <w:rPr>
          <w:rStyle w:val="cat-OrganizationNamegrp-3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правонарушение, ответственность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ст.15.6 КоАП РФ, а именно не предоставила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либо отказ от предоставления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камеральной налоговой проверки декларации по налогу на прибыль за 12 месяцев, квартальный 2019 года, предоставленной </w:t>
      </w:r>
      <w:r>
        <w:rPr>
          <w:rStyle w:val="cat-OrganizationNamegrp-3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п.3 ст.88 НК РФ было сформировано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направлено Требование № 1715 от 27.04.2020 г. о представлении пояснений либо внесении соответствующих исправлений по выявленным расхождениям по налогу на прибыль и просроченной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- 23.06.2020 г., место совершения правонарушения 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извещалась надлежащим образом по месту расположения организации и по месту жительства.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по месту расположения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по месту жительства – получена.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26.1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ч.1статьи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представление таких сведений в неполном объеме или в искаженном виде,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 (в ред. Федерального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24.07.2009 N 213-ФЗ)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специалистом первого разряда ОКП № 1 Ключом П.Р.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Анна Ивановна, являясь главным бухгалтером </w:t>
      </w:r>
      <w:r>
        <w:rPr>
          <w:rStyle w:val="cat-OrganizationNamegrp-34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правонарушение, ответственность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ст.15.6 КоАП РФ, а именно не предоставила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либо отказ от предоставления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камеральной налоговой проверки декларации по налогу на прибыль за 12 месяцев, квартальный 2019 года, предоставленной </w:t>
      </w:r>
      <w:r>
        <w:rPr>
          <w:rStyle w:val="cat-OrganizationNamegrp-3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п.3 ст.88 НК РФ было сформировано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направлено Требование № 1715 от 27.04.2020 г. о представлении пояснений либо внесении соответствующих исправлений по выявленным расхождениям по налогу на прибыль и просроченной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ст.88 НК РФ, если камеральной налоговой проверкой выявлены ошибки в налоговой декларации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сведениями, содержащимися в документах, имеющихся у налогового органа, и полученных им в ходе налогового контроля, об этом сообщается налогоплательщику с требованием представить в течение пяти дней необходимые пояснения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соответствующие исправления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пией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трудового договора от 13.01.2015 г., копией приказа о приеме на работу от 13.01.2015 г., копией приказа о внесении изменений в кадровые документы в связи со сменой фамилии сотрудника от 24.01.2019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копией требования № 1715 от 27.04.2020 г., копией квитанции о приеме от 27.04.2020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sz w:val="28"/>
          <w:szCs w:val="28"/>
        </w:rPr>
        <w:t>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от 07.12.2020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Ивановну,</w:t>
      </w:r>
      <w:r>
        <w:rPr>
          <w:rStyle w:val="cat-ExternalSystemDefinedgrp-46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</w:t>
      </w:r>
      <w:r>
        <w:rPr>
          <w:rFonts w:ascii="Times New Roman" w:eastAsia="Times New Roman" w:hAnsi="Times New Roman" w:cs="Times New Roman"/>
          <w:sz w:val="28"/>
          <w:szCs w:val="28"/>
        </w:rPr>
        <w:t>ст. 15.6 КоАП РФ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9102013284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35260000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3rplc-6">
    <w:name w:val="cat-OrganizationName grp-33 rplc-6"/>
    <w:basedOn w:val="DefaultParagraphFont"/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34rplc-14">
    <w:name w:val="cat-OrganizationName grp-3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34rplc-17">
    <w:name w:val="cat-OrganizationName grp-34 rplc-17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OrganizationNamegrp-34rplc-32">
    <w:name w:val="cat-OrganizationName grp-34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OrganizationNamegrp-34rplc-35">
    <w:name w:val="cat-OrganizationName grp-34 rplc-35"/>
    <w:basedOn w:val="DefaultParagraphFont"/>
  </w:style>
  <w:style w:type="character" w:customStyle="1" w:styleId="cat-ExternalSystemDefinedgrp-46rplc-54">
    <w:name w:val="cat-ExternalSystemDefined grp-46 rplc-54"/>
    <w:basedOn w:val="DefaultParagraphFont"/>
  </w:style>
  <w:style w:type="character" w:customStyle="1" w:styleId="cat-PassportDatagrp-32rplc-55">
    <w:name w:val="cat-PassportData grp-3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FD23DB822BA6A8CB707BCB574DCEB1E160763A4CE7C8CB4A570F512B7CF31EF61C32B34CE85CE153BB83422956F02E8101FBA65FUCW2G" TargetMode="External" /><Relationship Id="rId5" Type="http://schemas.openxmlformats.org/officeDocument/2006/relationships/hyperlink" Target="consultantplus://offline/ref=C2FD23DB822BA6A8CB707BCB574DCEB1E0667C3F4DE2C8CB4A570F512B7CF31EF61C32B048E954B603F4821E6C0BE32F8801F9A743C1B8F6UEW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