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(персонифицированного учета) в отношении 1 застрахованного лица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были нарушены п.2.2 ст.11 ФЗ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корреспонденция получена </w:t>
      </w:r>
      <w:r>
        <w:rPr>
          <w:rStyle w:val="cat-FIOgrp-16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сведения индивидуального (персонифицированного учета) в отношении 1 застрахованного лица за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расчетами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21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0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4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6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Отделение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единый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казначейский счет 40102810645370000035, ОКТМО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статус лица 08, УИН 0, КБК </w:t>
      </w:r>
      <w:r>
        <w:rPr>
          <w:rStyle w:val="cat-PhoneNumbergrp-28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17rplc-5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OrganizationNamegrp-21rplc-13">
    <w:name w:val="cat-OrganizationName grp-2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InWordsgrp-18rplc-24">
    <w:name w:val="cat-SumInWords grp-18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PassportDatagrp-20rplc-38">
    <w:name w:val="cat-PassportData grp-20 rplc-38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7rplc-53">
    <w:name w:val="cat-FIO grp-1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