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23MS0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тел.: </w:t>
      </w:r>
      <w:r>
        <w:rPr>
          <w:rStyle w:val="cat-PhoneNumbergrp-26rplc-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54@</w:t>
      </w:r>
      <w:r>
        <w:rPr>
          <w:rFonts w:ascii="Times New Roman" w:eastAsia="Times New Roman" w:hAnsi="Times New Roman" w:cs="Times New Roman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gov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)</w:t>
      </w:r>
    </w:p>
    <w:p>
      <w:pPr>
        <w:spacing w:before="0" w:after="0"/>
        <w:jc w:val="center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ст.12.15 КоАП РФ, в отношении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автомобилем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маневр обгона транспортного средства, двигавшегося в попутном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разметкой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1.1 или 1.11 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п.1.3 и п.9.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(1)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признал и пояснил, что он двигался в темное время суток и не увидел знак, поскольку шел сильный дождь.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части),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>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 в один ряд.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знака 3.20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ПДД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>
        <w:rPr>
          <w:rStyle w:val="cat-CarMakeModelgrp-2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.+550м.</w:t>
      </w:r>
      <w:r>
        <w:rPr>
          <w:rFonts w:ascii="Times New Roman" w:eastAsia="Times New Roman" w:hAnsi="Times New Roman" w:cs="Times New Roman"/>
          <w:sz w:val="28"/>
          <w:szCs w:val="28"/>
        </w:rPr>
        <w:t>, не учел интенсивность дорожного движения, совершил маневр обгона транспортного средства, двигавшегося в попутном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сторону,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9.1 (1), п. 1.3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рава, предусмотренные с. 51 Конституции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Федерации, ст. 25.1 КоАП РФ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дорожный знак 3.20 Приложения 2 к ПДД РФ не был ему виден из-за проливного дождя, не может быть признан обоснованным. В соответствии с п. 1.3 ПДД РФ участники дорожного движения обязаны знать и соблюдать в числе прочего относящиеся к ним требования Правил, знаков и разметки.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плохих погодных условиях водитель обязан выбрать безопасную скорость движения,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должном внимании водителей транспортные средства не могут являться друг для друга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обзора установленных на конкретном участке дороги дорожных знаков. В соответствии с п. 10.1 ПДД РФ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был соблюдать такую скорость, которая позволяла ему обеспечить постоянный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движением транспортного средства для выполнения требований Правил.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Совершенное,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4 статьи 12.15 КоАП РФ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смягчающих обстоятельств.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4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19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 12.15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03100643000000011800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ЮЖНОЕ </w:t>
      </w:r>
      <w:r>
        <w:rPr>
          <w:rStyle w:val="cat-OrganizationNamegrp-20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1881042</w:t>
      </w:r>
      <w:r>
        <w:rPr>
          <w:rFonts w:ascii="Times New Roman" w:eastAsia="Times New Roman" w:hAnsi="Times New Roman" w:cs="Times New Roman"/>
          <w:sz w:val="28"/>
          <w:szCs w:val="28"/>
        </w:rPr>
        <w:t>3210</w:t>
      </w:r>
      <w:r>
        <w:rPr>
          <w:rFonts w:ascii="Times New Roman" w:eastAsia="Times New Roman" w:hAnsi="Times New Roman" w:cs="Times New Roman"/>
          <w:sz w:val="28"/>
          <w:szCs w:val="28"/>
        </w:rPr>
        <w:t>230014251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постановлению № 5-54-</w:t>
      </w:r>
      <w:r>
        <w:rPr>
          <w:rFonts w:ascii="Times New Roman" w:eastAsia="Times New Roman" w:hAnsi="Times New Roman" w:cs="Times New Roman"/>
          <w:sz w:val="28"/>
          <w:szCs w:val="28"/>
        </w:rPr>
        <w:t>17/2022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150"/>
        <w:ind w:firstLine="709"/>
        <w:jc w:val="both"/>
        <w:rPr>
          <w:sz w:val="28"/>
          <w:szCs w:val="28"/>
        </w:rPr>
      </w:pPr>
    </w:p>
    <w:p>
      <w:pPr>
        <w:spacing w:before="0" w:after="15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26rplc-5">
    <w:name w:val="cat-PhoneNumber grp-26 rplc-5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CarMakeModelgrp-22rplc-26">
    <w:name w:val="cat-CarMakeModel grp-22 rplc-26"/>
    <w:basedOn w:val="DefaultParagraphFont"/>
  </w:style>
  <w:style w:type="character" w:customStyle="1" w:styleId="cat-CarNumbergrp-23rplc-27">
    <w:name w:val="cat-CarNumber grp-23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PassportDatagrp-19rplc-37">
    <w:name w:val="cat-PassportData grp-19 rplc-37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OrganizationNamegrp-20rplc-41">
    <w:name w:val="cat-OrganizationName grp-20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Addressgrp-0rplc-50">
    <w:name w:val="cat-Address grp-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