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15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№54 Красногвардейского судебного района Республики Крым Чернецкая И.В.,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Кулиша Дениса Григорьевича,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женатого, имеющего одного на иждивении несовершеннолетнего ребенка 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50лет Октября, 29, кв. 20,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"https://rospravosudie.com/law/%D0%A1%D1%82%D0%B0%D1%82%D1%8C%D1%8F_12.15_%D0%9A%D0%BE%D0%90%D0%9F_%D0%A0%D0%A4"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12.15 КоАП РФ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декабря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2018 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Кулиша 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инспектором ДПС ОГИБДД ОМВД России по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Пенькас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серии 82АП № 009012 от 19 декабря 2018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347 км </w:t>
      </w:r>
      <w:r>
        <w:rPr>
          <w:rFonts w:ascii="Times New Roman" w:eastAsia="Times New Roman" w:hAnsi="Times New Roman" w:cs="Times New Roman"/>
          <w:sz w:val="28"/>
          <w:szCs w:val="28"/>
        </w:rPr>
        <w:t>автодорог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11 часов 50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Кулиш Д.Г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Шкода-</w:t>
      </w:r>
      <w:r>
        <w:rPr>
          <w:rFonts w:ascii="Times New Roman" w:eastAsia="Times New Roman" w:hAnsi="Times New Roman" w:cs="Times New Roman"/>
          <w:sz w:val="28"/>
          <w:szCs w:val="28"/>
        </w:rPr>
        <w:t>Октавия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Style w:val="cat-CarNumbergrp-19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маневр обгона с выездом на полосу встречного движения, в зоне действия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3.20 «Обгон запрещен», тем самым нарушил п. 1.3 Правил дорожного движения.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Кулиш 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не признал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указанной автодороги не существует, действительно его останавливали сотрудники ГИБДД, однако протокол об административном правонарушении является недопустимым доказательством, поскольку при его составлении ему не были разъяснены права.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Кулиша Д.Г.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в совокупности материалы дела об административном правонарушении, приходит к следующему.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4 с</w:t>
      </w:r>
      <w:r>
        <w:rPr>
          <w:rFonts w:ascii="Times New Roman" w:eastAsia="Times New Roman" w:hAnsi="Times New Roman" w:cs="Times New Roman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12.15 КоАП РФ предусмотрена административная ответственность за повторное совершение административного правонарушения, предусмотренного частью 4 настоящей статьи.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ч.4 ст.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1 Правил дорожного движения Обгон 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опережение одного или нескольких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движущихся транспортных средств, связанное с выездом на полосу (сторону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проезжей части), предназначенную для встречного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движения, и последующим возвращением на ранее занимаемую полосу (сторону проезжей части).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Полоса движения - любая из продольных полос проезжей части, обозначенная или не обозначенная разметкой и имеющая ширину, достаточную для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автомобилей в один ряд.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статьи 26.1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 правонарушением,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(часть 1).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(часть 2).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 (часть 3).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смыслу статьи 28.2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составляется, а постановление прокурора о возбуждении дела об административном правонарушении выносится с участием физического лица или законного представителя юридического лица, в отношении которых возбуждено дело об административном правонарушении.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части 3 данной статьи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разъясняются их права и обязанности, предусмотренные Кодексом Российской Федерации об административных правонарушениях, о чем делается запись в протоколе.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18 постановления Пленума Верховного Суда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ации от 24 марта 2005 года N 5 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у судов при применении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дела об административном правонарушении собранные по делу доказательства должны оцениваться в соответствии со статьей 26.11 Кодекса Российской Федерации об административных правонарушениях, а также с позиции соблюдения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закона при их получении (часть 3 статьи 26.2 Кодекса Российской Федерации об административных правонарушениях).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которым не были предварительно разъяснены их права и обязанности, предусмотренные частью 1 статьи 25.1, частью 2 статьи 25.2, частью 3 статьи 25.6 Кодекса Российской Федерации об административных правонарушениях, статьей 51 Конституции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серии 82АП № 009012 от 19 декабря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Кулишу Д.Г.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требований действующего законодательства не были разъяснены положения статьи 25.1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видеозаписи, предоставленной по запросу суда, Кулишу Д.Г. после его законных требований разъяснены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 статьи 51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онституции Российской Федерации, при этом положения т. 25.1 КоАП РФ не разъяснены даже по его требованию.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соответствующей графе об ознакомлении с положениями указанных статей подпись </w:t>
      </w:r>
      <w:r>
        <w:rPr>
          <w:rFonts w:ascii="Times New Roman" w:eastAsia="Times New Roman" w:hAnsi="Times New Roman" w:cs="Times New Roman"/>
          <w:sz w:val="28"/>
          <w:szCs w:val="28"/>
        </w:rPr>
        <w:t>Кулиша 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>, указано, что права не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 о разъяснении прав лицу, в отношении которого ведется производство по делу об административном правонарушении, при составлении процессуальных документов по настоящему делу в материалах дела также отсутствует.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Изложенное свидетельствует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Кулиш 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 осведомлен об объеме предоставленных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процессуальных прав, что повлекло нарушение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на защиту.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Аналогичная правовая позиция о существенности и невосполнимости нарушений требований Кодекса Российской Федерации об административных правонарушениях при </w:t>
      </w:r>
      <w:r>
        <w:rPr>
          <w:rFonts w:ascii="Times New Roman" w:eastAsia="Times New Roman" w:hAnsi="Times New Roman" w:cs="Times New Roman"/>
          <w:sz w:val="28"/>
          <w:szCs w:val="28"/>
        </w:rPr>
        <w:t>неразъяснении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 участникам производства по делу об административном правонарушении ранее неоднократно высказывалась судами в ряде решений, принятым по делам об административных правонарушениях, например, в постановлении Верховного Суда Российской Федерации от 06 июня 2018 года N 127-АД18-3.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вышеизложенным, протокол об административном правонарушении является недопустимым доказательством.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в протоколе об административном правонарушении указано место совершения 347км автодороги М17, тогда как согласно Перечню автомобильных дорог общего пользования регионального или межрегионального значения, п</w:t>
      </w:r>
      <w:r>
        <w:rPr>
          <w:rFonts w:ascii="Times New Roman" w:eastAsia="Times New Roman" w:hAnsi="Times New Roman" w:cs="Times New Roman"/>
          <w:sz w:val="28"/>
          <w:szCs w:val="28"/>
        </w:rPr>
        <w:t>еречн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общего пользования регионального или межрегионального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находящихся в государственной собственности Республики Крым, утвержденного Постановлением Совета министров Республики Крым № 97 от 11.03.2015 года, такая дорога отсутствует на территории Республики Крым.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Кодекса Российской Федерации об административных правонарушениях).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хотя бы одного из обстоятельств, предусмотренных статьями 2.9, 24.5 настоящего Кодекса, а также при недоказанности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на основании которых возбуждено производство по делу об административном правонарушении, производство по делу об административном правонарушении подлежит прекращению.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производство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Кулиша Д.Г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подлежит прекращению в связи с отсутствием состава административного правонарушения.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1.7,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24.5, 29.9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Кулиша Дениса Григорьевича, </w:t>
      </w:r>
      <w:r>
        <w:rPr>
          <w:rStyle w:val="cat-PassportDatagrp-17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привлечении его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прекратить на ос</w:t>
      </w:r>
      <w:r>
        <w:rPr>
          <w:rFonts w:ascii="Times New Roman" w:eastAsia="Times New Roman" w:hAnsi="Times New Roman" w:cs="Times New Roman"/>
          <w:sz w:val="28"/>
          <w:szCs w:val="28"/>
        </w:rPr>
        <w:t>новании пункта 2 части 1 статьи 24.5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постановления, а также опротестовано прокурором.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CarNumbergrp-19rplc-16">
    <w:name w:val="cat-CarNumber grp-19 rplc-16"/>
    <w:basedOn w:val="DefaultParagraphFont"/>
  </w:style>
  <w:style w:type="character" w:customStyle="1" w:styleId="cat-PassportDatagrp-17rplc-33">
    <w:name w:val="cat-PassportData grp-1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