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-01-2020-000085-83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главного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бухгалтера </w:t>
      </w:r>
      <w:r>
        <w:rPr>
          <w:rFonts w:ascii="Times New Roman" w:eastAsia="Times New Roman" w:hAnsi="Times New Roman" w:cs="Times New Roman"/>
          <w:sz w:val="27"/>
          <w:szCs w:val="27"/>
        </w:rPr>
        <w:t>Автономной некоммерческой организации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АРМИИАВИАЦИИ и ФЛОТ</w:t>
      </w:r>
      <w:r>
        <w:rPr>
          <w:rFonts w:ascii="Times New Roman" w:eastAsia="Times New Roman" w:hAnsi="Times New Roman" w:cs="Times New Roman"/>
          <w:sz w:val="27"/>
          <w:szCs w:val="27"/>
        </w:rPr>
        <w:t>У(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ДОСААФ)» </w:t>
      </w:r>
      <w:r>
        <w:rPr>
          <w:rFonts w:ascii="Times New Roman" w:eastAsia="Times New Roman" w:hAnsi="Times New Roman" w:cs="Times New Roman"/>
          <w:sz w:val="27"/>
          <w:szCs w:val="27"/>
        </w:rPr>
        <w:t>Выстороп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Владимировны,</w:t>
      </w:r>
      <w:r>
        <w:rPr>
          <w:rStyle w:val="cat-ExternalSystem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АР Крым,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главным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бухгалтером </w:t>
      </w:r>
      <w:r>
        <w:rPr>
          <w:rFonts w:ascii="Times New Roman" w:eastAsia="Times New Roman" w:hAnsi="Times New Roman" w:cs="Times New Roman"/>
          <w:sz w:val="27"/>
          <w:szCs w:val="27"/>
        </w:rPr>
        <w:t>Автономной некоммерческой организации профессионального образования «Красногвардейский районный учебно-спортивный центр Крымской региональной общественной организации «ДОБРОВОЛЬНОЕ ОБЩЕСТВО СОДЕЙСТВИЯ АРМИИАВИАЦИИ и ФЛОТУ(ДОСААФ)»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8"/>
          <w:szCs w:val="28"/>
        </w:rPr>
        <w:t>сборах срок в налоговые органы сведений, необходимых для осуществления налогового контроля, а именно сведения о доходах физических лиц по форме 2-НДФЛ за 2018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ст.226 Кодекса – российские организации, индивидуальные предприниматели, нотариусы,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занимающиеся частной практикой</w:t>
      </w:r>
      <w:r>
        <w:rPr>
          <w:rFonts w:ascii="Times New Roman" w:eastAsia="Times New Roman" w:hAnsi="Times New Roman" w:cs="Times New Roman"/>
          <w:sz w:val="28"/>
          <w:szCs w:val="28"/>
        </w:rPr>
        <w:t>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указанные в пункте 2 настоящей статьи, обязаны исчислить, удержать у налогоплательщика и уплатить сумму налога, исчисленную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.224 настоящего Кодекса с учетом особенностей, предусмотренных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 ст.230 Кодекса установлено, что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</w:t>
      </w:r>
      <w:r>
        <w:rPr>
          <w:rFonts w:ascii="Times New Roman" w:eastAsia="Times New Roman" w:hAnsi="Times New Roman" w:cs="Times New Roman"/>
          <w:sz w:val="28"/>
          <w:szCs w:val="28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п.4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Кодекса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с учетом п.7 ст.6.1 Кодекса предельный срок предоставления свед</w:t>
      </w:r>
      <w:r>
        <w:rPr>
          <w:rFonts w:ascii="Times New Roman" w:eastAsia="Times New Roman" w:hAnsi="Times New Roman" w:cs="Times New Roman"/>
          <w:sz w:val="28"/>
          <w:szCs w:val="28"/>
        </w:rPr>
        <w:t>ений о доходах физических лиц (</w:t>
      </w:r>
      <w:r>
        <w:rPr>
          <w:rFonts w:ascii="Times New Roman" w:eastAsia="Times New Roman" w:hAnsi="Times New Roman" w:cs="Times New Roman"/>
          <w:sz w:val="28"/>
          <w:szCs w:val="28"/>
        </w:rPr>
        <w:t>форма 2-НДФЛ) за 2018 год не позднее 01.04.2019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о доходах физических лиц за истекший налоговый период и суммах налога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предоставляются налоговыми агентами в электронной форме по телекоммуникационным каналам связи.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годовой бухгалтерской (финансовой) отчетности за 2018 год - не позднее 01.04.2019 г.,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сведения о доходах физических лиц (форма 2-НДФЛ) за 2018 год на 35 физических лиц – 04.04.2019г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извещением о подтверждении даты отправки, сведениями из базы данных АИС «Налог-3».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02.04.2019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рассматривается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91052003</w:t>
      </w:r>
      <w:r>
        <w:rPr>
          <w:rFonts w:ascii="Times New Roman" w:eastAsia="Times New Roman" w:hAnsi="Times New Roman" w:cs="Times New Roman"/>
          <w:sz w:val="28"/>
          <w:szCs w:val="28"/>
        </w:rPr>
        <w:t>520832300001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расчета)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приказа о приеме на работу, копией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бухгалтера, копией трудового договора.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 (пункт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Выстороп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5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 Крым,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</w:t>
      </w:r>
      <w:r>
        <w:rPr>
          <w:rFonts w:ascii="Times New Roman" w:eastAsia="Times New Roman" w:hAnsi="Times New Roman" w:cs="Times New Roman"/>
          <w:sz w:val="28"/>
          <w:szCs w:val="28"/>
        </w:rPr>
        <w:t>000029, КБК 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910501001, ОКТМО 35620401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ExternalSystemDefinedgrp-35rplc-36">
    <w:name w:val="cat-ExternalSystemDefined grp-35 rplc-36"/>
    <w:basedOn w:val="DefaultParagraphFont"/>
  </w:style>
  <w:style w:type="character" w:customStyle="1" w:styleId="cat-PassportDatagrp-27rplc-37">
    <w:name w:val="cat-PassportData grp-27 rplc-37"/>
    <w:basedOn w:val="DefaultParagraphFont"/>
  </w:style>
  <w:style w:type="character" w:customStyle="1" w:styleId="cat-Addressgrp-2rplc-39">
    <w:name w:val="cat-Address grp-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