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5-54-56/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91MS0054-01-2021-000198-51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юрисконсульта </w:t>
      </w:r>
      <w:r>
        <w:rPr>
          <w:rStyle w:val="cat-OrganizationNamegrp-32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Хомякова Тимура Алексеевича, </w:t>
      </w:r>
      <w:r>
        <w:rPr>
          <w:rStyle w:val="cat-ExternalSystemDefinedgrp-4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>от 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Хомяков Тимур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ответственност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ь за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ст.15.6 КоАП РФ, а именно не предоставил в установленный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оформленных в установленном порядке документов и (или) иных сведений, необходимых для осуществления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сообщения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 организацией</w:t>
      </w:r>
      <w:r>
        <w:rPr>
          <w:rFonts w:ascii="Times New Roman" w:eastAsia="Times New Roman" w:hAnsi="Times New Roman" w:cs="Times New Roman"/>
          <w:sz w:val="28"/>
          <w:szCs w:val="28"/>
        </w:rPr>
        <w:t>) по форме № С-09-3-2, утвержденной приказом Министерства финансов РФ от 09.06.2011 г. № ММВ-7-6/362</w:t>
      </w:r>
      <w:r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форм и форматов сообщений».</w:t>
      </w:r>
    </w:p>
    <w:p>
      <w:pPr>
        <w:spacing w:before="0" w:after="160" w:line="252" w:lineRule="auto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Хомяков Т.А.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по месту расположения ор</w:t>
      </w:r>
      <w:r>
        <w:rPr>
          <w:rFonts w:ascii="Times New Roman" w:eastAsia="Times New Roman" w:hAnsi="Times New Roman" w:cs="Times New Roman"/>
          <w:sz w:val="28"/>
          <w:szCs w:val="28"/>
        </w:rPr>
        <w:t>ганизации и по месту жительства, указанному в протоколе, предоставил ходатайство о рассмотрении дела в его отсутствие, с правонарушением согласен.</w:t>
      </w:r>
    </w:p>
    <w:p>
      <w:pPr>
        <w:spacing w:before="0" w:after="160" w:line="252" w:lineRule="auto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160" w:line="252" w:lineRule="auto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статьи 26.1 Кодекса Российской Федерации об административных правонарушениях по делу об административном правонарушении выяснению подлежат: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по ч.2</w:t>
      </w:r>
      <w:r>
        <w:rPr>
          <w:rFonts w:ascii="Times New Roman" w:eastAsia="Times New Roman" w:hAnsi="Times New Roman" w:cs="Times New Roman"/>
          <w:sz w:val="28"/>
          <w:szCs w:val="28"/>
        </w:rPr>
        <w:t>статьи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искаженном виде </w:t>
      </w:r>
      <w:r>
        <w:rPr>
          <w:rFonts w:ascii="Times New Roman" w:eastAsia="Times New Roman" w:hAnsi="Times New Roman" w:cs="Times New Roman"/>
          <w:sz w:val="28"/>
          <w:szCs w:val="28"/>
        </w:rPr>
        <w:t>-(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ред. Федерального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23.07.2013 N 248-ФЗ)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пятисот до одной тысячи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Хомякова Т.А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государственным инспектором отдела учета и работы с налогоплательщиками </w:t>
      </w:r>
      <w:r>
        <w:rPr>
          <w:rFonts w:ascii="Times New Roman" w:eastAsia="Times New Roman" w:hAnsi="Times New Roman" w:cs="Times New Roman"/>
          <w:sz w:val="28"/>
          <w:szCs w:val="28"/>
        </w:rPr>
        <w:t>Прач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Хомяков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юрисконсультом </w:t>
      </w:r>
      <w:r>
        <w:rPr>
          <w:rStyle w:val="cat-OrganizationNamegrp-32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правонарушение, ответственность за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ч.2 ст.15.6 КоАП РФ, а именно не предоставил в установленный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срок оформленных в установленном порядке документов и (или) иных сведений, необходимых для осуществления контроля - сообщения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 организацией</w:t>
      </w:r>
      <w:r>
        <w:rPr>
          <w:rFonts w:ascii="Times New Roman" w:eastAsia="Times New Roman" w:hAnsi="Times New Roman" w:cs="Times New Roman"/>
          <w:sz w:val="28"/>
          <w:szCs w:val="28"/>
        </w:rPr>
        <w:t>) по форме № С-09-3-2, утвержденной приказом Министерства финансов РФ от 09.06.2011 г. № ММВ-7-6/362</w:t>
      </w:r>
      <w:r>
        <w:rPr>
          <w:rFonts w:ascii="Times New Roman" w:eastAsia="Times New Roman" w:hAnsi="Times New Roman" w:cs="Times New Roman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форм и форматов сообщений».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п.9 Порядка постановки на учет, снятия с учета в налоговых органах российских организаций по месту нахождения их обособленных подразделений,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принадлежащих им недвижимого имущества и (или) транспортных средств, физических лиц-граждан Российской Федерации, а также индивидуальных предпринимателей, применяющих </w:t>
      </w:r>
      <w:r>
        <w:rPr>
          <w:rFonts w:ascii="Times New Roman" w:eastAsia="Times New Roman" w:hAnsi="Times New Roman" w:cs="Times New Roman"/>
          <w:sz w:val="28"/>
          <w:szCs w:val="28"/>
        </w:rPr>
        <w:t>упрощённую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систему налогообложения на основе патента, утвержденного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05.11.2009 г. № 114н – снятие с учета налоговых органах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по месту нахождения ее обособленных подразделений (в том числе расположенных на территории одного муниципального образования)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сообщений в письменной форме, предоставляемых этой организацией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пп.3.1 п.2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23 НК РФ в налоговый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ее нахождения.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пп.3.1 п.2 ст.23 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– организации помимо обязанностей,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п.1 ст.23, обязаны сообщать в налоговый орган соответственно по месту нахождения организации обо всех обособленных подразделениях на территории Российской Федерации, через которые прекращается деятельность этой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закрываются этой организацией)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обособленное подразделение, расположенное по адресу </w:t>
      </w:r>
      <w:r>
        <w:rPr>
          <w:rStyle w:val="cat-PhoneNumbergrp-36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Россия, РК,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создано 01.01.2015 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23.11.2020 г. </w:t>
      </w:r>
      <w:r>
        <w:rPr>
          <w:rStyle w:val="cat-OrganizationNamegrp-33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принято решение о прекращении деятельности (закрытия) вышеуказанного обособленного подразделения. 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Следовательно, срок представления сведений о снятии с налогового учета обособленных подразделени</w:t>
      </w:r>
      <w:r>
        <w:rPr>
          <w:rFonts w:ascii="Times New Roman" w:eastAsia="Times New Roman" w:hAnsi="Times New Roman" w:cs="Times New Roman"/>
          <w:sz w:val="28"/>
          <w:szCs w:val="28"/>
        </w:rPr>
        <w:t>й-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26.11.2020 г. Фактически Сообщение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С-09-3-2 предоставлено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представлено </w:t>
      </w:r>
      <w:r>
        <w:rPr>
          <w:rStyle w:val="cat-OrganizationNamegrp-32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29.01.2021 г., то есть с нарушением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сообщения о закрытии обособленных подразделений, установленного пп.3.1 п.2 ст.23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OrganizationNamegrp-32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пп.3.1 п.2 ст.23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исполнило свою обязанность по своевременному представлению в установленный срок Сообщение об обособленных подразделениях российской организации на </w:t>
      </w:r>
      <w:r>
        <w:rPr>
          <w:rFonts w:ascii="Times New Roman" w:eastAsia="Times New Roman" w:hAnsi="Times New Roman" w:cs="Times New Roman"/>
          <w:sz w:val="28"/>
          <w:szCs w:val="28"/>
        </w:rPr>
        <w:t>территгории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через которые прекращается деятельность организации (которые закрываются организацией) не позднее 26.11.2020 г. в налоговый орган по месту нахождения организации.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совершения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- 27.11.2020 г., место совершения правонарушения :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обязанностей (статья 2.4 Кодекса Российской Федерации об административных правонарушениях).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примечания к данной статье следует,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неполном объеме или в искаженном виде </w:t>
      </w:r>
      <w:r>
        <w:rPr>
          <w:rFonts w:ascii="Times New Roman" w:eastAsia="Times New Roman" w:hAnsi="Times New Roman" w:cs="Times New Roman"/>
          <w:sz w:val="28"/>
          <w:szCs w:val="28"/>
        </w:rPr>
        <w:t>-(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ред. Федерального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23.07.2013 N 248-ФЗ)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пятисот до одной тысячи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Хомякова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приказа о приеме на работу от </w:t>
      </w:r>
      <w:r>
        <w:rPr>
          <w:rFonts w:ascii="Times New Roman" w:eastAsia="Times New Roman" w:hAnsi="Times New Roman" w:cs="Times New Roman"/>
          <w:sz w:val="28"/>
          <w:szCs w:val="28"/>
        </w:rPr>
        <w:t>03.08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.2015 г., копией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должностной инструкции юрисконсульта.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Хомякова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равильно квалифицированы по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Хомякова Т.А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Хомякова Т.А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Хомякова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Хомякова Тимура Алексеевича,</w:t>
      </w:r>
      <w:r>
        <w:rPr>
          <w:rStyle w:val="cat-ExternalSystemDefinedgrp-45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5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овершении правонарушения по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15.6 КоАП РФ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 рублей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копеек).</w:t>
      </w:r>
    </w:p>
    <w:p>
      <w:pPr>
        <w:spacing w:before="0" w:after="160" w:line="252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9102013284, КПП 910201001, БИК 013510002,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04752203230 в </w:t>
      </w:r>
      <w:r>
        <w:rPr>
          <w:rFonts w:ascii="Times New Roman" w:eastAsia="Times New Roman" w:hAnsi="Times New Roman" w:cs="Times New Roman"/>
          <w:sz w:val="28"/>
          <w:szCs w:val="28"/>
        </w:rPr>
        <w:t>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35220323, ОКТМО 35620000,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828 1 16 01153 01 0006 140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5-54-56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</w:p>
    <w:p>
      <w:pPr>
        <w:spacing w:before="0" w:after="160" w:line="252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32rplc-6">
    <w:name w:val="cat-OrganizationName grp-32 rplc-6"/>
    <w:basedOn w:val="DefaultParagraphFont"/>
  </w:style>
  <w:style w:type="character" w:customStyle="1" w:styleId="cat-ExternalSystemDefinedgrp-45rplc-8">
    <w:name w:val="cat-ExternalSystemDefined grp-45 rplc-8"/>
    <w:basedOn w:val="DefaultParagraphFont"/>
  </w:style>
  <w:style w:type="character" w:customStyle="1" w:styleId="cat-PassportDatagrp-30rplc-9">
    <w:name w:val="cat-PassportData grp-30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32rplc-14">
    <w:name w:val="cat-OrganizationName grp-32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32rplc-25">
    <w:name w:val="cat-OrganizationName grp-32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PhoneNumbergrp-36rplc-31">
    <w:name w:val="cat-PhoneNumber grp-36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OrganizationNamegrp-33rplc-35">
    <w:name w:val="cat-OrganizationName grp-33 rplc-35"/>
    <w:basedOn w:val="DefaultParagraphFont"/>
  </w:style>
  <w:style w:type="character" w:customStyle="1" w:styleId="cat-OrganizationNamegrp-32rplc-37">
    <w:name w:val="cat-OrganizationName grp-32 rplc-37"/>
    <w:basedOn w:val="DefaultParagraphFont"/>
  </w:style>
  <w:style w:type="character" w:customStyle="1" w:styleId="cat-OrganizationNamegrp-32rplc-39">
    <w:name w:val="cat-OrganizationName grp-32 rplc-39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ExternalSystemDefinedgrp-45rplc-53">
    <w:name w:val="cat-ExternalSystemDefined grp-45 rplc-53"/>
    <w:basedOn w:val="DefaultParagraphFont"/>
  </w:style>
  <w:style w:type="character" w:customStyle="1" w:styleId="cat-PassportDatagrp-31rplc-54">
    <w:name w:val="cat-PassportData grp-3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54FD42A752A97D8BB077741EEBF91205B50C5657320BDF5EAC7568E3EB4FC7B986765795F1B8FE81F20EBF1E0AE9B8A67C6C1A6D02CF20aDh7H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