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-77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-01-2020-000314-75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Мировой судья судебного участка №54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должностного лица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директора Общества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ограниченной ответственностью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«ПРОМБАЗА-2011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eastAsia="Times New Roman" w:hAnsi="Times New Roman" w:cs="Times New Roman"/>
          <w:sz w:val="27"/>
          <w:szCs w:val="27"/>
        </w:rPr>
        <w:t>Нестерова Юрия Юрьевича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фактически проживающего по адресу :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адрес организации: </w:t>
      </w:r>
      <w:r>
        <w:rPr>
          <w:rStyle w:val="cat-Addressgrp-4rplc-10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Нестеров Ю.Ю.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OrganizationNamegrp-25rplc-12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в установленный законодательством о налогах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сборах срок в налоговые органы сведений, необходимых для осуществления налогового контроля,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среднесписочной численности работников за предшествующий 2019 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п.п.4 п.1 ст.23,п.6 ст.80 Налогового кодекса Российской Федерации налогоплательщики обязаны представлять в установленном порядке и в установленные законодательством о налогах и сборах сроки в налоговый орган по месту учета налоговые декларации (расчеты).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п.1 ст.289 Налогового кодекса Российской Федерации налогоплательщики независимо от наличия у них обязанности по уплате налога или авансовых платежей по налогу, особенностей исчисления и уплаты налога обязаны по истечению каждого отчетного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налогового периода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налоговые декларации в порядке, определенные настоящей статьей.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3 ст.289 НК РФ предусмотрено, что налогоплательщики представляют налоговые декларации (расчеты) не позднее 28 календарных дней со дня окончания соответствующего отчетного периода.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среднесписочной численности работников за предшествующий 2019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20.01.2020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налогоплательщиком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среднесписочной численности работников в МИФНС № 1 не предоставлены.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Местом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юридического лица: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извещал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о времени и месте рассмотрения дела по адресу, указанному в протоколе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рассматривается 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dst609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полагает возможным рассмотреть данное дело в отсутствие правонарушителя.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</w:t>
      </w:r>
      <w:r>
        <w:rPr>
          <w:rFonts w:ascii="Times New Roman" w:eastAsia="Times New Roman" w:hAnsi="Times New Roman" w:cs="Times New Roman"/>
          <w:sz w:val="28"/>
          <w:szCs w:val="28"/>
        </w:rPr>
        <w:t>равно представление таких сведений в неполном объёме или в искажённом виде, за исключением случаев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частью 2 этой статьи, влечёт наложение административного штрафа на граждан в размере от ста до трёхсот рублей; на должностных лиц - от трёхсот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Ю.Ю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письменными доказательствами, имеющимися в материалах дела: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910520079248558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выписки из ЕГРЮЛ от </w:t>
      </w:r>
      <w:r>
        <w:rPr>
          <w:rFonts w:ascii="Times New Roman" w:eastAsia="Times New Roman" w:hAnsi="Times New Roman" w:cs="Times New Roman"/>
          <w:sz w:val="28"/>
          <w:szCs w:val="28"/>
        </w:rPr>
        <w:t>10.03</w:t>
      </w:r>
      <w:r>
        <w:rPr>
          <w:rFonts w:ascii="Times New Roman" w:eastAsia="Times New Roman" w:hAnsi="Times New Roman" w:cs="Times New Roman"/>
          <w:sz w:val="28"/>
          <w:szCs w:val="28"/>
        </w:rPr>
        <w:t>.2020 г.,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 от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Ю.Ю.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 1 ст. 15.6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Ю.Ю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прекращения производства по делу об административном правонарушении не имеется.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Ю.Ю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Нестерова Ю.Ю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пределах санкции ч. 1 ст. 15.6 КоАП в виде штрафа.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ч. 1 ст.15.6,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Нестерова Юрия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 ч. 1 ст. 15.6 КоАП РФ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300,00 рублей (триста рублей 00 копеек).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(Министерство юстиции Респ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ублики Крым,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/с 04752203230),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9102013284</w:t>
      </w:r>
      <w:r>
        <w:rPr>
          <w:rFonts w:ascii="Times New Roman" w:eastAsia="Times New Roman" w:hAnsi="Times New Roman" w:cs="Times New Roman"/>
          <w:sz w:val="28"/>
          <w:szCs w:val="28"/>
        </w:rPr>
        <w:t>, КБК 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>, КПП 910201001, ОКТМО 35620000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(УИН код в поле 22 «0»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Наименование банка: отделение по Республике Крым Южного главного управления ЦБРФ,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5rplc-17">
    <w:name w:val="cat-Address grp-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