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</w:t>
      </w:r>
      <w:r>
        <w:rPr>
          <w:rFonts w:ascii="Times New Roman" w:eastAsia="Times New Roman" w:hAnsi="Times New Roman" w:cs="Times New Roman"/>
          <w:sz w:val="28"/>
          <w:szCs w:val="28"/>
        </w:rPr>
        <w:t>1-000392-5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Казанкова Александра Николаевича,</w:t>
      </w:r>
      <w:r>
        <w:rPr>
          <w:rStyle w:val="cat-ExternalSystem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юридический адрес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№ 17/ПДС от 29.03.2021 года 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Казанков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вменяется,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должностным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 № 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были предоставлены сведения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(недостоверные сведения)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Григорьевой Галине Андреевне</w:t>
      </w:r>
      <w:r>
        <w:rPr>
          <w:rFonts w:ascii="Times New Roman" w:eastAsia="Times New Roman" w:hAnsi="Times New Roman" w:cs="Times New Roman"/>
          <w:sz w:val="28"/>
          <w:szCs w:val="28"/>
        </w:rPr>
        <w:t>, влияющие в рамках пилотного проекта на право получения застрахованным лицом соответствующего вида пособия или его размер.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не признал и пояснил, что им как руководителем, поданы сведения, указанные в справке, предоставленные Григорьевой Г.А. После проведения проверки, он сделал запрос в ЦРБ, и согласно ответу, в справке, выданной Григорьевой Г.А. врачом допущена ошибка в дате постановки на учет.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следующему выводу.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п.16 Постановление Правительства РФ от 21.04.2011 N 294 (ред. от 22.12.2016) "Об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за непредставление (за несвоевременное представление) документов, недостоверность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сокрытие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влияющих на право получения застрахованным лицом соответствующего вида пособия или исчисление его размера страхователь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17/ПДС от 29 марта 2021г. директором </w:t>
      </w:r>
      <w:r>
        <w:rPr>
          <w:rStyle w:val="cat-OrganizationNamegrp-29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Казанковым Александром Николаевичем в Филиал № 8 были предоставлены сведения в искаженном виде (недостоверные сведения) по сотруднику Григорьевой Г.А., влияющие в рамках пилотного проекта на право получения застрахованным лицом соответствующего вида пособия или его размер, а именно: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справке, выданной Григорьевой Галине Андреевне, она была поставлена на учет в женской консультации 27.02.2020 г. со сроком беременности 11 недель 6 дней. </w:t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встречной проверки с ГБУЗ РК «Красногвардейская ЦРБ» и представленным реестрам на оплату родовых сертификатов Григорьева Г.А. была поставлена на учет 21.05.2020 г., и Григорьевой Г.А., согласно реестру от 22.09.2020 г., было назначено и выплачено единовременное пособие женщинам, вставшим на учет в медицинских организациях в ранние сроки беременности, в сумме 675,15 руб., а следовало 0,00 руб. Излишне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выплачено Фондом социального страхования 675,15 руб.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как усматривается из справки № 48 от 21.09.2020 года, выданной ГБУЗ РК «Красногвардейская ЦРБ» Григорьева Г.А. состоит на учете по беременности с 27.02.2020 года, срок беременности 11 недель 6 дней.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наличия ошибки в справке в дате постановки на учет, допущенной врачом, не может свидетельствовать о наличии вины в действиях директора.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вина директора, как должностного лица, в предоставлении недостоверных сведений, отсутствует.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производство по делу подлежит прекращению на основании п. 2 ч. 1 ст. 24.5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п. 2 ч. 1 ст. 24.5,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4 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9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Казанкова Александра Николаевича, </w:t>
      </w:r>
      <w:r>
        <w:rPr>
          <w:rStyle w:val="cat-ExternalSystemDefinedgrp-33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на основании п. 2 ч. 1 ст. 24.5 КоАП Российской Федерации.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9rplc-6">
    <w:name w:val="cat-OrganizationName grp-29 rplc-6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29rplc-15">
    <w:name w:val="cat-OrganizationName grp-29 rplc-15"/>
    <w:basedOn w:val="DefaultParagraphFont"/>
  </w:style>
  <w:style w:type="character" w:customStyle="1" w:styleId="cat-OrganizationNamegrp-29rplc-27">
    <w:name w:val="cat-OrganizationName grp-29 rplc-27"/>
    <w:basedOn w:val="DefaultParagraphFont"/>
  </w:style>
  <w:style w:type="character" w:customStyle="1" w:styleId="cat-OrganizationNamegrp-29rplc-43">
    <w:name w:val="cat-OrganizationName grp-29 rplc-43"/>
    <w:basedOn w:val="DefaultParagraphFont"/>
  </w:style>
  <w:style w:type="character" w:customStyle="1" w:styleId="cat-ExternalSystemDefinedgrp-33rplc-46">
    <w:name w:val="cat-ExternalSystemDefined grp-33 rplc-46"/>
    <w:basedOn w:val="DefaultParagraphFont"/>
  </w:style>
  <w:style w:type="character" w:customStyle="1" w:styleId="cat-PassportDatagrp-28rplc-47">
    <w:name w:val="cat-PassportData grp-2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