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4-89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0054-01-2020-000373-92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Пантелюка Богдана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17.02.2020 г. в 11 часов 00 минут Пантелюк Б.В., находясь на границе земельного участка, расположенного вблизи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принадлежащего Михальчук Оксане Николаевне,</w:t>
      </w:r>
      <w:r>
        <w:rPr>
          <w:rStyle w:val="cat-PassportDatagrp-20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кадастровый номер 90:05:201101:877, самовольно, то есть вопреки установленному </w:t>
      </w:r>
      <w:r>
        <w:rPr>
          <w:rFonts w:ascii="Times New Roman" w:eastAsia="Times New Roman" w:hAnsi="Times New Roman" w:cs="Times New Roman"/>
          <w:sz w:val="28"/>
          <w:szCs w:val="28"/>
        </w:rPr>
        <w:t>ст.35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праву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иметь имущество в собственности, владеть, пользоваться и распоряжаться им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единолично, т</w:t>
      </w:r>
      <w:r>
        <w:rPr>
          <w:rFonts w:ascii="Times New Roman" w:eastAsia="Times New Roman" w:hAnsi="Times New Roman" w:cs="Times New Roman"/>
          <w:sz w:val="28"/>
          <w:szCs w:val="28"/>
        </w:rPr>
        <w:t>ак и совместно с другими лицами, н</w:t>
      </w:r>
      <w:r>
        <w:rPr>
          <w:rFonts w:ascii="Times New Roman" w:eastAsia="Times New Roman" w:hAnsi="Times New Roman" w:cs="Times New Roman"/>
          <w:sz w:val="28"/>
          <w:szCs w:val="28"/>
        </w:rPr>
        <w:t>икто не может быть лишен своего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ества иначе как по решению суда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24.07.2007 года № 221-ФЗ « О кадастровой деятельности», Приказу Министерства экономического развития Российской Федерации от 01.03.2016 г. № 90» 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помещения», осуществил замер указанного участка, после чего извлек межевые колья, тем самым нарушив границу между земельными участками, установленных в соответствии с действующим законодательством, то есть совершил административное правонарушение, предусмотренное ст.19.1 КоАП РФ.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Пантелюк Б.В. не явился, о времени и дате проведения судебного заседания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адресу, указанному в протоколе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вышеизложенным, судья полагает возможным рассмотреть данное дело в отсутствие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ст.19.1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19.1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объектом рассматриваемого правонарушения является порядок управления. Родовым (видовым) объектом - установленный в нормативных правовых актах порядок реализации гражданами и должностными лицами своих субъективных прав.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самоуправство посягает на установленный в государстве порядок управления, порядок осуществления гражданами принадлежащих им прав.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РК №</w:t>
      </w:r>
      <w:r>
        <w:rPr>
          <w:rFonts w:ascii="Times New Roman" w:eastAsia="Times New Roman" w:hAnsi="Times New Roman" w:cs="Times New Roman"/>
          <w:sz w:val="28"/>
          <w:szCs w:val="28"/>
        </w:rPr>
        <w:t>290685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27.02.2020г.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Михальч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 А.А., объяснениями Степанова О.В., протоколом осмотра места происшествия.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самовольно </w:t>
      </w:r>
      <w:r>
        <w:rPr>
          <w:rFonts w:ascii="Times New Roman" w:eastAsia="Times New Roman" w:hAnsi="Times New Roman" w:cs="Times New Roman"/>
          <w:sz w:val="28"/>
          <w:szCs w:val="28"/>
        </w:rPr>
        <w:t>извлек межевые колья, тем самым нарушив границу между земельными участками.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Пантелюку Б.В.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sz w:val="28"/>
          <w:szCs w:val="28"/>
        </w:rPr>
        <w:t>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самовольно </w:t>
      </w:r>
      <w:r>
        <w:rPr>
          <w:rFonts w:ascii="Times New Roman" w:eastAsia="Times New Roman" w:hAnsi="Times New Roman" w:cs="Times New Roman"/>
          <w:sz w:val="28"/>
          <w:szCs w:val="28"/>
        </w:rPr>
        <w:t>извлек межевые колья, тем самым нарушив границу между земельными участками.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Пантелюка Б.В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необходимым назначить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санкцией ст. 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1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 –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Пантелюка Богдана Васильевича,</w:t>
      </w:r>
      <w:r>
        <w:rPr>
          <w:rStyle w:val="cat-ExternalSystemDefinedgrp-3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 (сто) рублей штрафа.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УФК по Республике Крым (Министерство юстиции Республики Крым, л/с 04752203230), ИНН 9102013284, КПП 910201001, Банк получателя : Отделение по Республике Крым Южного главного управления ЦБРФ, БИК 043510001, счет: 40101810335100010001,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>КБК 8281160119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000140. 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предусмотренных ст. 31.5 настоящего Кодекса.</w:t>
      </w:r>
    </w:p>
    <w:p>
      <w:pPr>
        <w:spacing w:before="0" w:after="16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160" w:line="259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0710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PassportDatagrp-20rplc-18">
    <w:name w:val="cat-PassportData grp-20 rplc-18"/>
    <w:basedOn w:val="DefaultParagraphFont"/>
  </w:style>
  <w:style w:type="character" w:customStyle="1" w:styleId="cat-ExternalSystemDefinedgrp-35rplc-38">
    <w:name w:val="cat-ExternalSystemDefined grp-35 rplc-38"/>
    <w:basedOn w:val="DefaultParagraphFont"/>
  </w:style>
  <w:style w:type="character" w:customStyle="1" w:styleId="cat-PassportDatagrp-21rplc-39">
    <w:name w:val="cat-PassportData grp-2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D79E-2E6F-4A94-9F2B-10D1605B16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