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5-54-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 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1-000466-2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ч.1 ст.12.8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4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3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>официально не трудоустроенного,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зарегистрированного и проживающего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Республика Крым,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45rplc-11"/>
          <w:rFonts w:ascii="Times New Roman" w:eastAsia="Times New Roman" w:hAnsi="Times New Roman" w:cs="Times New Roman"/>
          <w:sz w:val="28"/>
          <w:szCs w:val="28"/>
        </w:rPr>
        <w:t>...название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Красногвардейское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Крым в районе дома № 6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 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2.7 Правил дорожного движения,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Королла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18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в состоянии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Транспортное средство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Тойота </w:t>
      </w:r>
      <w:r>
        <w:rPr>
          <w:rFonts w:ascii="Times New Roman" w:eastAsia="Times New Roman" w:hAnsi="Times New Roman" w:cs="Times New Roman"/>
          <w:sz w:val="28"/>
          <w:szCs w:val="28"/>
        </w:rPr>
        <w:t>Королла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37rplc-20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Лынгуру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не признал и пояснил, что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управлял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за рулем был его знакомый Ширяев С.В., которого он попросил свозить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магазин за продуктами.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адвокат Соляр В.В., просил прекратить производство по делу в виду того, что у сотрудников ГИБДД отсутствовали основания для проведения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поскольку он не являлся водителем.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обозрев видеозапись,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допросив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Епишкина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Ширяева С.В., </w:t>
      </w:r>
      <w:r>
        <w:rPr>
          <w:rFonts w:ascii="Times New Roman" w:eastAsia="Times New Roman" w:hAnsi="Times New Roman" w:cs="Times New Roman"/>
          <w:sz w:val="28"/>
          <w:szCs w:val="28"/>
        </w:rPr>
        <w:t>Васильченкова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  <w:szCs w:val="28"/>
        </w:rPr>
        <w:t>Карнауха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Е.Н., Шульгу И.С., Шульга Е.В.,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12.8 КоАП РФ, доказана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нашла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 подтверждение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ходе производства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Федеральным законом от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09715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протоколом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82 ОТ № 017928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37405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82 ПЗ № 037</w:t>
      </w:r>
      <w:r>
        <w:rPr>
          <w:rFonts w:ascii="Times New Roman" w:eastAsia="Times New Roman" w:hAnsi="Times New Roman" w:cs="Times New Roman"/>
          <w:sz w:val="28"/>
          <w:szCs w:val="28"/>
        </w:rPr>
        <w:t>171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.2021 г. о задержании транспортного средства,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управления транспортным средством водителем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подтверждается показаниями свидетеля Шульги И.С., объяснениями пассажира Ширяева С.В., данными им 03.04.2021 года и объяснениями самого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данными им 03.04.2021 года.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об отстранении от упра</w:t>
      </w:r>
      <w:r>
        <w:rPr>
          <w:rFonts w:ascii="Times New Roman" w:eastAsia="Times New Roman" w:hAnsi="Times New Roman" w:cs="Times New Roman"/>
          <w:sz w:val="28"/>
          <w:szCs w:val="28"/>
        </w:rPr>
        <w:t>вления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серии 82ОТ № 017928 от 03.04.2021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сотрудниками полиции выявлены следующие признаки опьянения – запах алкоголя изо рта,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неустойчивость позы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Акту освидетельствования на состояние алкогольного опьянения серии </w:t>
      </w:r>
      <w:r>
        <w:rPr>
          <w:rFonts w:ascii="Times New Roman" w:eastAsia="Times New Roman" w:hAnsi="Times New Roman" w:cs="Times New Roman"/>
          <w:sz w:val="28"/>
          <w:szCs w:val="28"/>
        </w:rPr>
        <w:t>61 АА №</w:t>
      </w:r>
      <w:r>
        <w:rPr>
          <w:rFonts w:ascii="Times New Roman" w:eastAsia="Times New Roman" w:hAnsi="Times New Roman" w:cs="Times New Roman"/>
          <w:sz w:val="28"/>
          <w:szCs w:val="28"/>
        </w:rPr>
        <w:t>137405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03.04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находился в состоянии опьянения, т.к. результат </w:t>
      </w:r>
      <w:r>
        <w:rPr>
          <w:rFonts w:ascii="Times New Roman" w:eastAsia="Times New Roman" w:hAnsi="Times New Roman" w:cs="Times New Roman"/>
          <w:sz w:val="28"/>
          <w:szCs w:val="28"/>
        </w:rPr>
        <w:t>алкотектора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 </w:t>
      </w:r>
      <w:r>
        <w:rPr>
          <w:rFonts w:ascii="Times New Roman" w:eastAsia="Times New Roman" w:hAnsi="Times New Roman" w:cs="Times New Roman"/>
          <w:sz w:val="28"/>
          <w:szCs w:val="28"/>
        </w:rPr>
        <w:t>1,03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миллиграмм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литр выдыхаемого воздуха, с результатами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лицо, привлекаемое к административной ответственности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Судья, оценивает критично показания свидетеля Ширяева С.В., данные им в ходе рассмотрения дела судом, относительно того, что он управлял транспортным средством, а не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поскольку </w:t>
      </w:r>
      <w:r>
        <w:rPr>
          <w:rFonts w:ascii="Times New Roman" w:eastAsia="Times New Roman" w:hAnsi="Times New Roman" w:cs="Times New Roman"/>
          <w:sz w:val="28"/>
          <w:szCs w:val="28"/>
        </w:rPr>
        <w:t>данные показания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противоречат его первичным показаниям, данными им 03.04.2021 года, а также не согласуются с объяснениями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данными им 03.04.2021 года и показаниями свидетеля Шульги И.С., который непосредственно помогал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водителю </w:t>
      </w:r>
      <w:r>
        <w:rPr>
          <w:rFonts w:ascii="Times New Roman" w:eastAsia="Times New Roman" w:hAnsi="Times New Roman" w:cs="Times New Roman"/>
          <w:sz w:val="28"/>
          <w:szCs w:val="28"/>
        </w:rPr>
        <w:t>Лынгуру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выйти из машины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ДТП </w:t>
      </w:r>
      <w:r>
        <w:rPr>
          <w:rFonts w:ascii="Times New Roman" w:eastAsia="Times New Roman" w:hAnsi="Times New Roman" w:cs="Times New Roman"/>
          <w:sz w:val="28"/>
          <w:szCs w:val="28"/>
        </w:rPr>
        <w:t>с места водителя.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не принимает во внимание показания свидетелей </w:t>
      </w:r>
      <w:r>
        <w:rPr>
          <w:rFonts w:ascii="Times New Roman" w:eastAsia="Times New Roman" w:hAnsi="Times New Roman" w:cs="Times New Roman"/>
          <w:sz w:val="28"/>
          <w:szCs w:val="28"/>
        </w:rPr>
        <w:t>Епишкина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Благодаткина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Д.В., </w:t>
      </w:r>
      <w:r>
        <w:rPr>
          <w:rFonts w:ascii="Times New Roman" w:eastAsia="Times New Roman" w:hAnsi="Times New Roman" w:cs="Times New Roman"/>
          <w:sz w:val="28"/>
          <w:szCs w:val="28"/>
        </w:rPr>
        <w:t>Ключникова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Д.А., относительно того, что с места, где они отдыхали вместе с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С.А., за рулем автомобиля отъезжал Ширяев С.А., поскольку факт того, что сначала автомобилем управлял Ширяев С.А. не исключает обстоятельств, что в момент ДТП за рулем был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 свидетель Шульга И.С., он подъехал к месту ДТП непосредственно сразу, и помогал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выйти с автомобиля, при этом на водительском месте сидел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того, что Шульга И.С. </w:t>
      </w:r>
      <w:r>
        <w:rPr>
          <w:rFonts w:ascii="Times New Roman" w:eastAsia="Times New Roman" w:hAnsi="Times New Roman" w:cs="Times New Roman"/>
          <w:sz w:val="28"/>
          <w:szCs w:val="28"/>
        </w:rPr>
        <w:t>был на месте ДТП и помогал выйти с автомобиля водителю подтвердила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свидетель Шульга Е.В.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пояснили в судебном заседании свидетели </w:t>
      </w:r>
      <w:r>
        <w:rPr>
          <w:rFonts w:ascii="Times New Roman" w:eastAsia="Times New Roman" w:hAnsi="Times New Roman" w:cs="Times New Roman"/>
          <w:sz w:val="28"/>
          <w:szCs w:val="28"/>
        </w:rPr>
        <w:t>Васильченков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В.В., </w:t>
      </w:r>
      <w:r>
        <w:rPr>
          <w:rFonts w:ascii="Times New Roman" w:eastAsia="Times New Roman" w:hAnsi="Times New Roman" w:cs="Times New Roman"/>
          <w:sz w:val="28"/>
          <w:szCs w:val="28"/>
        </w:rPr>
        <w:t>Карнаух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Е.Н. они подъехали к месту ДТП через 3 минуты. При этом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Лынгур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пояснил, что он находился за рулем. Ширяев С.А. также давал объяснения, что он являлся пассажиром, об административной ответственности за дачу ложных показаний был предупрежден.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мировой судья 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имеется состав административного правонарушения, предусмотренный ч.1 ст.12.8 КоАП РФ, поскольку его действиями нарушен п. 2.7 ПДД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квалифицирует его действия как управление транспортным средством 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ч. 1 ст. 12.8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или смягчающих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ст.4.2, 4.3 КоАП РФ, мировым судьей не установлено.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</w:rPr>
        <w:t>изложенного</w:t>
      </w:r>
      <w:r>
        <w:rPr>
          <w:rFonts w:ascii="Times New Roman" w:eastAsia="Times New Roman" w:hAnsi="Times New Roman" w:cs="Times New Roman"/>
          <w:sz w:val="28"/>
          <w:szCs w:val="28"/>
        </w:rPr>
        <w:t>, и руководствуясь ч. 1 ст. 12.8,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ExternalSystemDefinedgrp-44rplc-8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34rplc-81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000 (тридцать тысяч) рублей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лишением права управления транспортными средствами на срок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один год шесть месяцев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шестидесяти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реквизиты: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sz w:val="28"/>
          <w:szCs w:val="28"/>
        </w:rPr>
        <w:t>чатель УФК по Республике Крым (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Красногвардейскому району), счет получателя платежа 40102810645370000035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Fonts w:ascii="Times New Roman" w:eastAsia="Times New Roman" w:hAnsi="Times New Roman" w:cs="Times New Roman"/>
          <w:sz w:val="28"/>
          <w:szCs w:val="28"/>
        </w:rPr>
        <w:t>013510002</w:t>
      </w:r>
      <w:r>
        <w:rPr>
          <w:rFonts w:ascii="Times New Roman" w:eastAsia="Times New Roman" w:hAnsi="Times New Roman" w:cs="Times New Roman"/>
          <w:sz w:val="28"/>
          <w:szCs w:val="28"/>
        </w:rPr>
        <w:t>, КБК 1881160112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010001140, ИНН </w:t>
      </w:r>
      <w:r>
        <w:rPr>
          <w:rFonts w:ascii="Times New Roman" w:eastAsia="Times New Roman" w:hAnsi="Times New Roman" w:cs="Times New Roman"/>
          <w:sz w:val="28"/>
          <w:szCs w:val="28"/>
        </w:rPr>
        <w:t>9105000100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</w:rPr>
        <w:t>910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01001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35620000 </w:t>
      </w:r>
      <w:r>
        <w:rPr>
          <w:rFonts w:ascii="Times New Roman" w:eastAsia="Times New Roman" w:hAnsi="Times New Roman" w:cs="Times New Roman"/>
          <w:sz w:val="28"/>
          <w:szCs w:val="28"/>
        </w:rPr>
        <w:t>(идентификатор 188104912</w:t>
      </w:r>
      <w:r>
        <w:rPr>
          <w:rFonts w:ascii="Times New Roman" w:eastAsia="Times New Roman" w:hAnsi="Times New Roman" w:cs="Times New Roman"/>
          <w:sz w:val="28"/>
          <w:szCs w:val="28"/>
        </w:rPr>
        <w:t>1200000</w:t>
      </w:r>
      <w:r>
        <w:rPr>
          <w:rFonts w:ascii="Times New Roman" w:eastAsia="Times New Roman" w:hAnsi="Times New Roman" w:cs="Times New Roman"/>
          <w:sz w:val="28"/>
          <w:szCs w:val="28"/>
        </w:rPr>
        <w:t>1192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54 Красногвардейского судебного района Республики Крым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>, ул. Титова, д. 60.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Также разъяснить лицу, привлеченному к административной ответственности, что в соответствии с 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1.1 ст. 32.7 КоАП РФ обязать </w:t>
      </w:r>
      <w:r>
        <w:rPr>
          <w:rFonts w:ascii="Times New Roman" w:eastAsia="Times New Roman" w:hAnsi="Times New Roman" w:cs="Times New Roman"/>
          <w:sz w:val="28"/>
          <w:szCs w:val="28"/>
        </w:rPr>
        <w:t>Лынгура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трёх рабочих дней со дня вступления в законную силу данного постановления сдать в ОГИБДД ОМВД России по Красногвардейскому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району Республики Крым (Республика Крым, Красногвардейский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Красногвардейское, ул. 50 лет Октября, д.46) водительское удостоверение.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на постановление по делу об административном правонарушении может быть подана в Красногвардейский районный суд Республики Крым через мирового судью судебного участка №54 Красногвардейского судебного района Республики Крым, а также непосредственно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44rplc-8">
    <w:name w:val="cat-ExternalSystemDefined grp-44 rplc-8"/>
    <w:basedOn w:val="DefaultParagraphFont"/>
  </w:style>
  <w:style w:type="character" w:customStyle="1" w:styleId="cat-PassportDatagrp-33rplc-9">
    <w:name w:val="cat-PassportData grp-33 rplc-9"/>
    <w:basedOn w:val="DefaultParagraphFont"/>
  </w:style>
  <w:style w:type="character" w:customStyle="1" w:styleId="cat-UserDefinedgrp-45rplc-11">
    <w:name w:val="cat-UserDefined grp-45 rplc-11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CarNumbergrp-37rplc-18">
    <w:name w:val="cat-CarNumber grp-37 rplc-18"/>
    <w:basedOn w:val="DefaultParagraphFont"/>
  </w:style>
  <w:style w:type="character" w:customStyle="1" w:styleId="cat-CarNumbergrp-37rplc-20">
    <w:name w:val="cat-CarNumber grp-37 rplc-20"/>
    <w:basedOn w:val="DefaultParagraphFont"/>
  </w:style>
  <w:style w:type="character" w:customStyle="1" w:styleId="cat-ExternalSystemDefinedgrp-44rplc-80">
    <w:name w:val="cat-ExternalSystemDefined grp-44 rplc-80"/>
    <w:basedOn w:val="DefaultParagraphFont"/>
  </w:style>
  <w:style w:type="character" w:customStyle="1" w:styleId="cat-PassportDatagrp-34rplc-81">
    <w:name w:val="cat-PassportData grp-34 rplc-8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