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4-01-2020-000438-91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Кузнецова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холостого, не имеющего на иждивении несовершеннолетнего ребенка,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Кузнецов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собственником транспортного средства автомобиля марки </w:t>
      </w:r>
      <w:r>
        <w:rPr>
          <w:rStyle w:val="cat-CarMakeModelgrp-22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номер </w:t>
      </w:r>
      <w:r>
        <w:rPr>
          <w:rFonts w:ascii="Times New Roman" w:eastAsia="Times New Roman" w:hAnsi="Times New Roman" w:cs="Times New Roman"/>
          <w:sz w:val="28"/>
          <w:szCs w:val="28"/>
        </w:rPr>
        <w:t>926-08КР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пункта 2.7 Правил дорожного движения передал управление указанным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Лисовскому Виктору Валерьевичу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находивше</w:t>
      </w:r>
      <w:r>
        <w:rPr>
          <w:rFonts w:ascii="Times New Roman" w:eastAsia="Times New Roman" w:hAnsi="Times New Roman" w:cs="Times New Roman"/>
          <w:sz w:val="28"/>
          <w:szCs w:val="28"/>
        </w:rPr>
        <w:t>муся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данному факту инспектором ДПС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момент правонарушения 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салоне автомобиля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Лисовского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 по части 2 статьи 12.8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отрицал.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Кузн</w:t>
      </w:r>
      <w:r>
        <w:rPr>
          <w:rFonts w:ascii="Times New Roman" w:eastAsia="Times New Roman" w:hAnsi="Times New Roman" w:cs="Times New Roman"/>
          <w:sz w:val="28"/>
          <w:szCs w:val="28"/>
        </w:rPr>
        <w:t>ецова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2 статьи 12.8 Кодекса Российской Федерации об административных правонарушениях - передача управления транспортным средством лицу, находящемуся 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части 2 статьи 12.8 Кодекса Российской Федерации об административных правонарушениях, состоит в самоустранении водителя, который управлял или должен управлять транспортным средством, и передаче им управления транспортным средством лицу, находящемуся 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разъяснению Пленума Верховного Суда Российской Федерации при квалификации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2 статьи 12.8 КоАП РФ,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 абзац 2 пункта 7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24.10.2006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Лисовский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>61 АА 140398 от 09.05.2020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Лисовского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представленные доказательства, по правилам статьи 26.11 Кодекса Российской Федерации об административных правонарушениях, судья считает их относимыми, допустимыми и достоверными.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исходя из требований статей 3.1, 4.1 Кодекса Российской Федерации об административных правонарушениях, судья учитывает характер совершенного административного правонарушения, общественную опасность содеянного, личность виновного, обстоятельств смягчающих и отягчающих наказание,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санкция применяемой статьи предусматривает обязательное назначение основного и дополнительного административных наказаний (например, часть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РФ), но одно из них не может быть назначено лицу, не имеющему права управления транспортными средствами, ему назначается только то из административных наказаний, которое может быть назначено (применительно к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- административный штраф) (часть 3 статьи 3.3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</w:t>
      </w:r>
      <w:r>
        <w:rPr>
          <w:rFonts w:ascii="Times New Roman" w:eastAsia="Times New Roman" w:hAnsi="Times New Roman" w:cs="Times New Roman"/>
          <w:sz w:val="28"/>
          <w:szCs w:val="28"/>
        </w:rPr>
        <w:t>ложенного, и руководствуясь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>, ИНН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</w:t>
      </w:r>
      <w:r>
        <w:rPr>
          <w:rFonts w:ascii="Times New Roman" w:eastAsia="Times New Roman" w:hAnsi="Times New Roman" w:cs="Times New Roman"/>
          <w:sz w:val="28"/>
          <w:szCs w:val="28"/>
        </w:rPr>
        <w:t>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1881049</w:t>
      </w:r>
      <w:r>
        <w:rPr>
          <w:rFonts w:ascii="Times New Roman" w:eastAsia="Times New Roman" w:hAnsi="Times New Roman" w:cs="Times New Roman"/>
          <w:sz w:val="28"/>
          <w:szCs w:val="28"/>
        </w:rPr>
        <w:t>1202000001169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CarMakeModelgrp-22rplc-13">
    <w:name w:val="cat-CarMakeModel grp-22 rplc-13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ExternalSystemDefinedgrp-30rplc-31">
    <w:name w:val="cat-ExternalSystemDefined grp-30 rplc-31"/>
    <w:basedOn w:val="DefaultParagraphFont"/>
  </w:style>
  <w:style w:type="character" w:customStyle="1" w:styleId="cat-PassportDatagrp-20rplc-32">
    <w:name w:val="cat-PassportData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