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5-54-12</w:t>
      </w:r>
      <w:r>
        <w:rPr>
          <w:rFonts w:ascii="Times New Roman" w:eastAsia="Times New Roman" w:hAnsi="Times New Roman" w:cs="Times New Roman"/>
          <w:sz w:val="28"/>
          <w:szCs w:val="28"/>
        </w:rPr>
        <w:t>0/2020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0054-01-2020-000473-83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Геннадьевича, 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фактически состоящего в брачных отношениях, имеющего 5-х несовершеннолетних детей, официально не трудоустроенного,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 </w:t>
      </w:r>
      <w:r>
        <w:rPr>
          <w:rFonts w:ascii="Times New Roman" w:eastAsia="Times New Roman" w:hAnsi="Times New Roman" w:cs="Times New Roman"/>
          <w:sz w:val="28"/>
          <w:szCs w:val="28"/>
        </w:rPr>
        <w:t>18.05.2020 года в 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в отношении которого 27.06.2018 года Керченским городским судом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свою вину по указанным фактам не отрицал, пояснил, что отсутствовал дома, так как находился в гостях с девушкой.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1). Административный надзор устанавливается для предупреждения совершения лицами, указанными в ст. 3 настоящего Федерального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дела, вступившим в законную силу решением Керченского городского суда Республики Крым от 27.06.2018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 Надзор установлен сроком на два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>18.05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 года в 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в нарушение установленного судом административного ограничения отсутствовал по месту своего жительства.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вмененного административного правонарушения подтверждается собранными по делу доказательствами: протоколом об 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 № РК-291490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21.05</w:t>
      </w:r>
      <w:r>
        <w:rPr>
          <w:rFonts w:ascii="Times New Roman" w:eastAsia="Times New Roman" w:hAnsi="Times New Roman" w:cs="Times New Roman"/>
          <w:sz w:val="28"/>
          <w:szCs w:val="28"/>
        </w:rPr>
        <w:t>.2020, рапортом об обнаружении признаков административного правонарушения, копией решения Керченского городского суда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27.06.2018,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 Актом посещения.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неоднократно привлекался к административной ответственности по ч. 3 ст. 19.24 КоАП РФ,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именно: 23.07.2019 года – 5 раз; 24.06.2019 года – 4 раза; 16.10.2019 года – три раза, 11.11.2019 года – 3раза и 12.11.2019 года; 23.01.2020 года – </w:t>
      </w:r>
      <w:r>
        <w:rPr>
          <w:rFonts w:ascii="Times New Roman" w:eastAsia="Times New Roman" w:hAnsi="Times New Roman" w:cs="Times New Roman"/>
          <w:sz w:val="28"/>
          <w:szCs w:val="28"/>
        </w:rPr>
        <w:t>3 раза; 21.02.2020 года – 7 раз, 17.03.2020 г. – 6 раз, 14.04.2020 г.- 2 раза, 12.05.2020 г.- 4 раза.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ответственность, судом признается раскаянье лица, совершившего административное правонарушение.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и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29.9, 29.10 КоАП РФ, суд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Геннадьевича, </w:t>
      </w:r>
      <w:r>
        <w:rPr>
          <w:rStyle w:val="cat-ExternalSystemDefinedgrp-31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4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 3 ст. 19.24. КоАП РФ назначить ему наказание в в</w:t>
      </w:r>
      <w:r>
        <w:rPr>
          <w:rFonts w:ascii="Times New Roman" w:eastAsia="Times New Roman" w:hAnsi="Times New Roman" w:cs="Times New Roman"/>
          <w:sz w:val="28"/>
          <w:szCs w:val="28"/>
        </w:rPr>
        <w:t>иде обязательных работ на срок 3</w:t>
      </w:r>
      <w:r>
        <w:rPr>
          <w:rFonts w:ascii="Times New Roman" w:eastAsia="Times New Roman" w:hAnsi="Times New Roman" w:cs="Times New Roman"/>
          <w:sz w:val="28"/>
          <w:szCs w:val="28"/>
        </w:rPr>
        <w:t>0 (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</w:t>
      </w:r>
      <w:r>
        <w:rPr>
          <w:rFonts w:ascii="Times New Roman" w:eastAsia="Times New Roman" w:hAnsi="Times New Roman" w:cs="Times New Roman"/>
          <w:sz w:val="28"/>
          <w:szCs w:val="28"/>
        </w:rPr>
        <w:t>)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 Г.,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ExternalSystemDefinedgrp-31rplc-42">
    <w:name w:val="cat-ExternalSystemDefined grp-31 rplc-42"/>
    <w:basedOn w:val="DefaultParagraphFont"/>
  </w:style>
  <w:style w:type="character" w:customStyle="1" w:styleId="cat-PassportDatagrp-26rplc-43">
    <w:name w:val="cat-PassportData grp-26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