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144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0054-01-2020-000566-95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ст.20.21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Васильевны, </w:t>
      </w:r>
      <w:r>
        <w:rPr>
          <w:rStyle w:val="cat-ExternalSystemDefinedgrp-2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замужней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их детей</w:t>
      </w:r>
      <w:r>
        <w:rPr>
          <w:rFonts w:ascii="Times New Roman" w:eastAsia="Times New Roman" w:hAnsi="Times New Roman" w:cs="Times New Roman"/>
          <w:sz w:val="27"/>
          <w:szCs w:val="27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возле дома № 2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Первомайской в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алкогольного опьянения, оскорбляющем человеческое достоинство и общественную нравственность, имел шаткую походку, неопрятный внешний вид.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szCs w:val="27"/>
        </w:rPr>
        <w:t>в этот день употребляла спиртосодержащую продукцию, однако события дня не помнит. Инвалидом первой второй группы не является, в состоянии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беременности не находится.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судья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Козерацк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7"/>
          <w:szCs w:val="27"/>
        </w:rPr>
        <w:t>291456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протоколом об административном задержании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 доставлении </w:t>
      </w:r>
      <w:r>
        <w:rPr>
          <w:rFonts w:ascii="Times New Roman" w:eastAsia="Times New Roman" w:hAnsi="Times New Roman" w:cs="Times New Roman"/>
          <w:sz w:val="27"/>
          <w:szCs w:val="27"/>
        </w:rPr>
        <w:t>от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82АА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0117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справкой ГБУЗ РК «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ЦРБ» о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показаниями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показаниями свидетеля.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Козерацкой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отношение к совершенному правонарушению, суд считает необходимым назначить административное наказание в виде административного ареста сроком на 3 (трое)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Козерацк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1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20.21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ареста сроком на 3 (трое)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в виде ареста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22 часов 50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ч.1 ст.32.8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ExternalSystemDefinedgrp-21rplc-30">
    <w:name w:val="cat-ExternalSystemDefined grp-21 rplc-30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