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5-54-148</w:t>
      </w:r>
      <w:r>
        <w:rPr>
          <w:rFonts w:ascii="Times New Roman" w:eastAsia="Times New Roman" w:hAnsi="Times New Roman" w:cs="Times New Roman"/>
        </w:rPr>
        <w:t>/2021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91MS0054-01-2021-000695-15</w:t>
      </w:r>
    </w:p>
    <w:p>
      <w:pPr>
        <w:spacing w:before="0" w:after="0"/>
        <w:ind w:left="426"/>
        <w:jc w:val="right"/>
        <w:rPr>
          <w:sz w:val="28"/>
          <w:szCs w:val="28"/>
        </w:rPr>
      </w:pPr>
    </w:p>
    <w:p>
      <w:pPr>
        <w:spacing w:before="0" w:after="0"/>
        <w:ind w:left="4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left="426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№54,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в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Style w:val="cat-OrganizationNamegrp-19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директором </w:t>
      </w:r>
      <w:r>
        <w:rPr>
          <w:rStyle w:val="cat-OrganizationNamegrp-19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ноябрь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 и времени 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отрения дела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19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Указанный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01.06.2004 г.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ноябрь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до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извещением о доставке ТКС.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Гаркавый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9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№ 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г.; уведомление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регистрации юридического лица в территориальном органе ПФ РФ; выпиской из единого государственного реестра юридических лиц;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формой СЗВ – М; 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доставке отчета; извещение о непредставлении в территориальный орган ПФРФ сведений индивидуального (персонифицированного) учета;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1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ноябрь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Генерального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иректора </w:t>
      </w:r>
      <w:r>
        <w:rPr>
          <w:rStyle w:val="cat-OrganizationNamegrp-19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ст.15.33.2 КоАП РФ, и назначить наказание в виде штрафа в размере 300 (триста)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7706808265, 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910201001, получатель УФК по Республике Крым (ГУ - Отделение Пенсионного фонда РФ по Республике Крым)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013510002, Банк Отделение Республика Крым Банка России/ УФК по Республике Крым г. Симферополь,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/счет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40102810645370000035, ОКТМО 35620000,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статус лица 08, УИН 0, КБК 392 116 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eastAsia="Times New Roman" w:hAnsi="Times New Roman" w:cs="Times New Roman"/>
          <w:sz w:val="28"/>
          <w:szCs w:val="28"/>
        </w:rPr>
        <w:t>платежа: административный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Гаркав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Кирилл Викторович</w:t>
      </w:r>
      <w:r>
        <w:rPr>
          <w:rFonts w:ascii="Times New Roman" w:eastAsia="Times New Roman" w:hAnsi="Times New Roman" w:cs="Times New Roman"/>
          <w:sz w:val="28"/>
          <w:szCs w:val="28"/>
        </w:rPr>
        <w:t>, регистрационный номер 091-004-006360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расногвардейское, ул.Титова, д.60.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9rplc-7">
    <w:name w:val="cat-OrganizationName grp-19 rplc-7"/>
    <w:basedOn w:val="DefaultParagraphFont"/>
  </w:style>
  <w:style w:type="character" w:customStyle="1" w:styleId="cat-ExternalSystemDefinedgrp-29rplc-9">
    <w:name w:val="cat-ExternalSystemDefined grp-29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OrganizationNamegrp-19rplc-17">
    <w:name w:val="cat-OrganizationName grp-19 rplc-17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OrganizationNamegrp-19rplc-36">
    <w:name w:val="cat-OrganizationName grp-19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D5763C9CC4679376F418F16C6E657F45514E43CCECAB15D98FBC43160DFE458969B7579E5B2156102827EF8D774BFAFCA7B4D00EA7F5858A34C5I" TargetMode="External" /><Relationship Id="rId6" Type="http://schemas.openxmlformats.org/officeDocument/2006/relationships/hyperlink" Target="consultantplus://offline/ref=D5763C9CC4679376F418F16C6E657F45514E43C2EBAF15D98FBC43160DFE458969B757965A20561C757DFF893E1EF5E2A5AECE08B9F538C4I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