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5-54-168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91MS0054-01-2019-000432-93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енной ответственностью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Станица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сведения о среднесписочной численности работников за предшествующий 2018 календарный год.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о среднесписочной численности работников за предшествующий календарный год – не позднее 20 января текущег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Предприятие было 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 </w:t>
      </w:r>
      <w:r>
        <w:rPr>
          <w:rFonts w:ascii="Times New Roman" w:eastAsia="Times New Roman" w:hAnsi="Times New Roman" w:cs="Times New Roman"/>
          <w:sz w:val="28"/>
          <w:szCs w:val="28"/>
        </w:rPr>
        <w:t>08.09.2014 г.</w:t>
      </w:r>
      <w:r>
        <w:rPr>
          <w:rFonts w:ascii="Times New Roman" w:eastAsia="Times New Roman" w:hAnsi="Times New Roman" w:cs="Times New Roman"/>
          <w:sz w:val="28"/>
          <w:szCs w:val="28"/>
        </w:rPr>
        <w:t>, предельный срок представления сведений о среднесписочной численности работников за предшествующий 2018 календарный год – 21.01.2019 г. Фактически сведения не представлены.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Временем совершения правонарушения является 22.01.2019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рассмотрения дела надлежащим образом. Корреспонденция, направленная по адресу, указанному в протоколе об административном правонарушении, возвратилась в адрес судебного участка с отметкой об истечении сроков хранения.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14.05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выписки из ЕГРЮЛ, сведений из базы данных ЭОД «Реестр деклараций юридических лиц, представленных несвоевременно».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ч. 1 ст. 15.6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получатель УФК по Республике Крым для Межрайонной ИФНС России № 1 ИНН 9105000029, КБК 18211603030016000140, КПП 910501001, ОКТМО 35620401 (УИН код в поле 22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ExternalSystemDefinedgrp-34rplc-34">
    <w:name w:val="cat-ExternalSystemDefined grp-34 rplc-34"/>
    <w:basedOn w:val="DefaultParagraphFont"/>
  </w:style>
  <w:style w:type="character" w:customStyle="1" w:styleId="cat-PassportDatagrp-24rplc-35">
    <w:name w:val="cat-PassportData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