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Васильевича, </w:t>
      </w:r>
      <w:r>
        <w:rPr>
          <w:rStyle w:val="cat-PassportDatagrp-1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несовершеннолетних детей не имеющего, не работающего, зарегистрированного и проживающего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вид, невнятн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общественном месте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имея вид, оскорбляющий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5112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последнего 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 выданной ГБУЗ РК «Красногвардейская центральная районная больница № 2», </w:t>
      </w:r>
      <w:r>
        <w:rPr>
          <w:rFonts w:ascii="Times New Roman" w:eastAsia="Times New Roman" w:hAnsi="Times New Roman" w:cs="Times New Roman"/>
          <w:sz w:val="28"/>
          <w:szCs w:val="28"/>
        </w:rPr>
        <w:t>Чухинский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Чухинского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подтверждается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объяснениями свидетелей Попова В.В. и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9, 11, 12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Чухинского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квалифицирует его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вины суд учитывает в качестве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eastAsia="Times New Roman" w:hAnsi="Times New Roman" w:cs="Times New Roman"/>
          <w:sz w:val="28"/>
          <w:szCs w:val="28"/>
        </w:rPr>
        <w:t>Чухинскому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Чухинского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тысячи </w:t>
      </w:r>
      <w:r>
        <w:rPr>
          <w:rFonts w:ascii="Times New Roman" w:eastAsia="Times New Roman" w:hAnsi="Times New Roman" w:cs="Times New Roman"/>
          <w:sz w:val="28"/>
          <w:szCs w:val="28"/>
        </w:rPr>
        <w:t>пятисот)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Крым), отделение Республика Крым Банка России (УФК по Республике Крым г. Симферополь),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 код Сводного реестра 35220323, КБК 82811601</w:t>
      </w:r>
      <w:r>
        <w:rPr>
          <w:rFonts w:ascii="Times New Roman" w:eastAsia="Times New Roman" w:hAnsi="Times New Roman" w:cs="Times New Roman"/>
          <w:sz w:val="28"/>
          <w:szCs w:val="28"/>
        </w:rPr>
        <w:t>203010021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 35620401.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Чухинскому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17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2021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/2021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